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411DC5" w:rsidP="00B42AA6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KAR</w:t>
      </w:r>
      <w:r w:rsidR="000223AB">
        <w:rPr>
          <w:rFonts w:eastAsia="Calibri"/>
          <w:b/>
          <w:bCs/>
          <w:spacing w:val="30"/>
          <w:sz w:val="20"/>
          <w:szCs w:val="20"/>
        </w:rPr>
        <w:t>TA PRZEDMIOTU (SYLABUS)</w:t>
      </w:r>
    </w:p>
    <w:p w:rsidR="00B42AA6" w:rsidRPr="005C100B" w:rsidRDefault="00B42AA6" w:rsidP="00B42AA6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5C100B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C100B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A54859" w:rsidRDefault="00104762" w:rsidP="00411AA2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C5AAF" w:rsidRDefault="004610F8" w:rsidP="004610F8">
            <w:pPr>
              <w:jc w:val="center"/>
              <w:rPr>
                <w:sz w:val="20"/>
                <w:szCs w:val="20"/>
              </w:rPr>
            </w:pPr>
            <w:r w:rsidRPr="00660387">
              <w:rPr>
                <w:sz w:val="20"/>
                <w:szCs w:val="20"/>
              </w:rPr>
              <w:t xml:space="preserve">New media </w:t>
            </w:r>
            <w:proofErr w:type="spellStart"/>
            <w:r w:rsidRPr="00660387">
              <w:rPr>
                <w:sz w:val="20"/>
                <w:szCs w:val="20"/>
              </w:rPr>
              <w:t>technologies</w:t>
            </w:r>
            <w:proofErr w:type="spellEnd"/>
            <w:r w:rsidRPr="00660387">
              <w:rPr>
                <w:sz w:val="20"/>
                <w:szCs w:val="20"/>
              </w:rPr>
              <w:t xml:space="preserve"> market</w:t>
            </w:r>
          </w:p>
        </w:tc>
      </w:tr>
      <w:tr w:rsidR="00104762" w:rsidRPr="005C100B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B42AA6" w:rsidRDefault="00B42AA6" w:rsidP="00CF0CF0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UTH/F/DZ/2/P/ST/B1/4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B42AA6" w:rsidRDefault="00104762" w:rsidP="00411AA2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A92002" w:rsidRDefault="004610F8" w:rsidP="00A920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660387">
              <w:rPr>
                <w:sz w:val="20"/>
                <w:szCs w:val="20"/>
              </w:rPr>
              <w:t>Rynek nowych technologii medialnych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874691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Angielski, p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A66B5B">
              <w:rPr>
                <w:rFonts w:eastAsia="Calibri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287BDB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  <w:r w:rsidR="00D661D0">
              <w:rPr>
                <w:rFonts w:eastAsia="Calibri"/>
                <w:sz w:val="20"/>
                <w:szCs w:val="20"/>
                <w:lang w:eastAsia="en-US"/>
              </w:rPr>
              <w:t xml:space="preserve"> i nowe media</w:t>
            </w: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B42AA6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0870B5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287BDB">
              <w:rPr>
                <w:sz w:val="20"/>
                <w:szCs w:val="20"/>
              </w:rPr>
              <w:t>drugiego</w:t>
            </w:r>
            <w:r w:rsidR="006C345D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66038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F81FDD" w:rsidRDefault="00660387" w:rsidP="00411AA2">
            <w:pPr>
              <w:jc w:val="center"/>
              <w:rPr>
                <w:sz w:val="20"/>
                <w:szCs w:val="20"/>
              </w:rPr>
            </w:pPr>
            <w:r w:rsidRPr="00660387">
              <w:rPr>
                <w:sz w:val="20"/>
                <w:szCs w:val="20"/>
              </w:rPr>
              <w:t>B1. Grupa zajęć kierunkowych - obowiązkowych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D661D0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O</w:t>
            </w:r>
            <w:r w:rsidR="00660387" w:rsidRPr="00660387">
              <w:rPr>
                <w:sz w:val="20"/>
                <w:szCs w:val="20"/>
              </w:rPr>
              <w:t>bowiązkowy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01E78" w:rsidRDefault="00411DC5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C100B" w:rsidRDefault="00411DC5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BF3ED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B42AA6" w:rsidP="00B42AA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B42AA6" w:rsidP="00B42AA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287BDB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BF3ED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B42AA6" w:rsidP="00A659B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B42AA6" w:rsidP="00A659B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A659B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A659B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</w:t>
            </w:r>
            <w:r w:rsidR="00287BDB"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287BDB" w:rsidP="00A659B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20 </w:t>
            </w:r>
            <w:r w:rsidR="00C036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A659B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C0360B" w:rsidP="00A659B0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87BDB" w:rsidP="00A659B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B42AA6" w:rsidRDefault="00B42AA6" w:rsidP="00A659B0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42AA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4B01D4" w:rsidP="00A659B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B42AA6" w:rsidP="00A659B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="00287BDB" w:rsidRPr="00287BDB">
              <w:rPr>
                <w:rFonts w:eastAsia="Calibri"/>
                <w:sz w:val="20"/>
                <w:szCs w:val="20"/>
                <w:lang w:eastAsia="en-US"/>
              </w:rPr>
              <w:t>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87BDB" w:rsidP="00A659B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E3F46" w:rsidRDefault="008E3F46" w:rsidP="00A659B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5A05CA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0352CA" w:rsidRDefault="00411DC5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0352CA" w:rsidRDefault="00CA46A6" w:rsidP="00A659B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8E3F46" w:rsidP="00A659B0">
            <w:pPr>
              <w:autoSpaceDE w:val="0"/>
              <w:autoSpaceDN w:val="0"/>
              <w:adjustRightInd w:val="0"/>
              <w:ind w:left="66"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  <w:r w:rsidR="007E392F">
              <w:rPr>
                <w:sz w:val="20"/>
                <w:szCs w:val="18"/>
              </w:rPr>
              <w:t xml:space="preserve"> </w:t>
            </w:r>
            <w:r w:rsidR="007E392F">
              <w:rPr>
                <w:sz w:val="20"/>
                <w:szCs w:val="20"/>
              </w:rPr>
              <w:t>/ Katedra Filologii Polskiej</w:t>
            </w: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98787B" w:rsidP="00A659B0">
            <w:pPr>
              <w:autoSpaceDE w:val="0"/>
              <w:autoSpaceDN w:val="0"/>
              <w:adjustRightInd w:val="0"/>
              <w:ind w:left="66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M</w:t>
            </w:r>
            <w:r w:rsidR="00287BDB">
              <w:rPr>
                <w:sz w:val="20"/>
                <w:szCs w:val="18"/>
              </w:rPr>
              <w:t xml:space="preserve">gr </w:t>
            </w:r>
            <w:r w:rsidR="009F55B9">
              <w:rPr>
                <w:sz w:val="20"/>
                <w:szCs w:val="18"/>
              </w:rPr>
              <w:t>Patryk Wikaliński</w:t>
            </w:r>
          </w:p>
        </w:tc>
      </w:tr>
      <w:tr w:rsidR="00C92681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792A86" w:rsidRDefault="00C92681" w:rsidP="00A659B0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9F55B9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EB6ADD" w:rsidRDefault="00C92681" w:rsidP="00A659B0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</w:rPr>
            </w:pPr>
          </w:p>
        </w:tc>
      </w:tr>
    </w:tbl>
    <w:p w:rsidR="00411DC5" w:rsidRPr="005C100B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411DC5" w:rsidRPr="00EB6ADD" w:rsidTr="00BD2D71">
        <w:trPr>
          <w:trHeight w:val="797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74691" w:rsidRDefault="00874691" w:rsidP="0087469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val="en-GB" w:eastAsia="en-US"/>
              </w:rPr>
            </w:pPr>
            <w:r w:rsidRPr="00FF35DC">
              <w:rPr>
                <w:rStyle w:val="jlqj4b"/>
                <w:sz w:val="20"/>
                <w:lang w:val="en-GB"/>
              </w:rPr>
              <w:t xml:space="preserve">Developing the ability </w:t>
            </w:r>
            <w:r w:rsidR="001F4070">
              <w:rPr>
                <w:rStyle w:val="jlqj4b"/>
                <w:sz w:val="20"/>
                <w:lang w:val="en-GB"/>
              </w:rPr>
              <w:t xml:space="preserve">of the student </w:t>
            </w:r>
            <w:r w:rsidRPr="00FF35DC">
              <w:rPr>
                <w:rStyle w:val="jlqj4b"/>
                <w:sz w:val="20"/>
                <w:lang w:val="en-GB"/>
              </w:rPr>
              <w:t>to identify and use systems, programs and applications useful in the work of a journalist.</w:t>
            </w:r>
            <w:r w:rsidRPr="00FF35DC">
              <w:rPr>
                <w:rStyle w:val="viiyi"/>
                <w:sz w:val="20"/>
                <w:lang w:val="en-GB"/>
              </w:rPr>
              <w:t xml:space="preserve"> </w:t>
            </w:r>
            <w:r w:rsidRPr="00FF35DC">
              <w:rPr>
                <w:rStyle w:val="jlqj4b"/>
                <w:sz w:val="20"/>
                <w:lang w:val="en-GB"/>
              </w:rPr>
              <w:t>Acquainting the student with the basic economic and social determinants of the new media market.</w:t>
            </w:r>
            <w:r w:rsidRPr="00874691">
              <w:rPr>
                <w:sz w:val="20"/>
                <w:lang w:val="en-GB"/>
              </w:rPr>
              <w:t xml:space="preserve"> </w:t>
            </w:r>
          </w:p>
        </w:tc>
      </w:tr>
      <w:tr w:rsidR="00411DC5" w:rsidRPr="00EB6ADD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BF3EDA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691" w:rsidRPr="00FF35DC" w:rsidRDefault="00874691" w:rsidP="00874691">
            <w:pPr>
              <w:jc w:val="both"/>
              <w:rPr>
                <w:rStyle w:val="jlqj4b"/>
                <w:sz w:val="20"/>
                <w:szCs w:val="20"/>
                <w:lang w:val="en-GB"/>
              </w:rPr>
            </w:pPr>
            <w:r w:rsidRPr="00FF35DC">
              <w:rPr>
                <w:rStyle w:val="jlqj4b"/>
                <w:sz w:val="20"/>
                <w:lang w:val="en-GB"/>
              </w:rPr>
              <w:t>1</w:t>
            </w:r>
            <w:r w:rsidRPr="00FF35DC">
              <w:rPr>
                <w:rStyle w:val="jlqj4b"/>
                <w:sz w:val="20"/>
                <w:szCs w:val="20"/>
                <w:lang w:val="en-GB"/>
              </w:rPr>
              <w:t>. Technological convergence</w:t>
            </w:r>
            <w:r w:rsidR="003E4DA6" w:rsidRPr="00FF35DC">
              <w:rPr>
                <w:rStyle w:val="jlqj4b"/>
                <w:sz w:val="20"/>
                <w:szCs w:val="20"/>
                <w:lang w:val="en-GB"/>
              </w:rPr>
              <w:t xml:space="preserve"> and its consequences</w:t>
            </w:r>
          </w:p>
          <w:p w:rsidR="00874691" w:rsidRPr="00FF35DC" w:rsidRDefault="00874691" w:rsidP="00874691">
            <w:pPr>
              <w:jc w:val="both"/>
              <w:rPr>
                <w:rStyle w:val="jlqj4b"/>
                <w:sz w:val="20"/>
                <w:szCs w:val="20"/>
                <w:lang w:val="en-GB"/>
              </w:rPr>
            </w:pPr>
            <w:r w:rsidRPr="00FF35DC">
              <w:rPr>
                <w:rStyle w:val="jlqj4b"/>
                <w:sz w:val="20"/>
                <w:szCs w:val="20"/>
                <w:lang w:val="en-GB"/>
              </w:rPr>
              <w:t xml:space="preserve">2. New media market in Poland and in the world. </w:t>
            </w:r>
          </w:p>
          <w:p w:rsidR="00874691" w:rsidRPr="00FF35DC" w:rsidRDefault="00874691" w:rsidP="00874691">
            <w:pPr>
              <w:jc w:val="both"/>
              <w:rPr>
                <w:rStyle w:val="jlqj4b"/>
                <w:sz w:val="20"/>
                <w:szCs w:val="20"/>
                <w:lang w:val="en-GB"/>
              </w:rPr>
            </w:pPr>
            <w:r w:rsidRPr="00FF35DC">
              <w:rPr>
                <w:rStyle w:val="jlqj4b"/>
                <w:sz w:val="20"/>
                <w:szCs w:val="20"/>
                <w:lang w:val="en-GB"/>
              </w:rPr>
              <w:t>3. Journalists as authors and recipients of messages published in social media.</w:t>
            </w:r>
          </w:p>
          <w:p w:rsidR="00874691" w:rsidRPr="00FF35DC" w:rsidRDefault="00874691" w:rsidP="00874691">
            <w:pPr>
              <w:jc w:val="both"/>
              <w:rPr>
                <w:rStyle w:val="jlqj4b"/>
                <w:sz w:val="20"/>
                <w:lang w:val="en-GB"/>
              </w:rPr>
            </w:pPr>
            <w:r w:rsidRPr="00FF35DC">
              <w:rPr>
                <w:rStyle w:val="jlqj4b"/>
                <w:sz w:val="20"/>
                <w:lang w:val="en-GB"/>
              </w:rPr>
              <w:lastRenderedPageBreak/>
              <w:t>4. Mobile applications in the service of journalism.</w:t>
            </w:r>
            <w:r w:rsidRPr="00FF35DC">
              <w:rPr>
                <w:rStyle w:val="viiyi"/>
                <w:sz w:val="20"/>
                <w:lang w:val="en-GB"/>
              </w:rPr>
              <w:t xml:space="preserve"> </w:t>
            </w:r>
            <w:r w:rsidRPr="00FF35DC">
              <w:rPr>
                <w:rStyle w:val="jlqj4b"/>
                <w:sz w:val="20"/>
                <w:lang w:val="en-GB"/>
              </w:rPr>
              <w:t>Collection, archiving and processing of dat</w:t>
            </w:r>
            <w:r w:rsidR="003E4DA6" w:rsidRPr="00FF35DC">
              <w:rPr>
                <w:rStyle w:val="jlqj4b"/>
                <w:sz w:val="20"/>
                <w:lang w:val="en-GB"/>
              </w:rPr>
              <w:t>a.</w:t>
            </w:r>
          </w:p>
          <w:p w:rsidR="00874691" w:rsidRPr="00FF35DC" w:rsidRDefault="00874691" w:rsidP="00874691">
            <w:pPr>
              <w:jc w:val="both"/>
              <w:rPr>
                <w:rStyle w:val="jlqj4b"/>
                <w:sz w:val="20"/>
                <w:szCs w:val="20"/>
                <w:lang w:val="en-GB"/>
              </w:rPr>
            </w:pPr>
            <w:r w:rsidRPr="00FF35DC">
              <w:rPr>
                <w:rStyle w:val="jlqj4b"/>
                <w:sz w:val="20"/>
                <w:szCs w:val="20"/>
                <w:lang w:val="en-GB"/>
              </w:rPr>
              <w:t>6. Computer programs and applications for online conferences, meetings and interviews.</w:t>
            </w:r>
          </w:p>
          <w:p w:rsidR="00874691" w:rsidRPr="00FF35DC" w:rsidRDefault="00874691" w:rsidP="00874691">
            <w:pPr>
              <w:jc w:val="both"/>
              <w:rPr>
                <w:rStyle w:val="jlqj4b"/>
                <w:sz w:val="20"/>
                <w:lang w:val="en-GB"/>
              </w:rPr>
            </w:pPr>
            <w:r w:rsidRPr="00FF35DC">
              <w:rPr>
                <w:rStyle w:val="jlqj4b"/>
                <w:sz w:val="20"/>
                <w:lang w:val="en-GB"/>
              </w:rPr>
              <w:t xml:space="preserve">6. Journalism 3.0, or data-based journalism. </w:t>
            </w:r>
          </w:p>
          <w:p w:rsidR="003E4DA6" w:rsidRPr="00FF35DC" w:rsidRDefault="00874691" w:rsidP="00874691">
            <w:pPr>
              <w:jc w:val="both"/>
              <w:rPr>
                <w:rStyle w:val="jlqj4b"/>
                <w:sz w:val="20"/>
                <w:szCs w:val="20"/>
                <w:lang w:val="en-GB"/>
              </w:rPr>
            </w:pPr>
            <w:r w:rsidRPr="00FF35DC">
              <w:rPr>
                <w:rStyle w:val="jlqj4b"/>
                <w:sz w:val="20"/>
                <w:szCs w:val="20"/>
                <w:lang w:val="en-GB"/>
              </w:rPr>
              <w:t>7. Journalism 4.0.</w:t>
            </w:r>
            <w:r w:rsidRPr="00FF35DC">
              <w:rPr>
                <w:rStyle w:val="viiyi"/>
                <w:sz w:val="20"/>
                <w:szCs w:val="20"/>
                <w:lang w:val="en-GB"/>
              </w:rPr>
              <w:t xml:space="preserve"> </w:t>
            </w:r>
            <w:r w:rsidR="003E4DA6" w:rsidRPr="00FF35DC">
              <w:rPr>
                <w:rStyle w:val="jlqj4b"/>
                <w:sz w:val="20"/>
                <w:szCs w:val="20"/>
                <w:lang w:val="en-GB"/>
              </w:rPr>
              <w:t>Will artificial intelligence replace journalists?</w:t>
            </w:r>
          </w:p>
          <w:p w:rsidR="003E4DA6" w:rsidRPr="00FF35DC" w:rsidRDefault="00874691" w:rsidP="00874691">
            <w:pPr>
              <w:jc w:val="both"/>
              <w:rPr>
                <w:rStyle w:val="jlqj4b"/>
                <w:sz w:val="20"/>
                <w:lang w:val="en-GB"/>
              </w:rPr>
            </w:pPr>
            <w:r w:rsidRPr="00FF35DC">
              <w:rPr>
                <w:rStyle w:val="jlqj4b"/>
                <w:sz w:val="20"/>
                <w:lang w:val="en-GB"/>
              </w:rPr>
              <w:t>8. The use of new media technologies in practice.</w:t>
            </w:r>
            <w:r w:rsidRPr="00FF35DC">
              <w:rPr>
                <w:rStyle w:val="viiyi"/>
                <w:sz w:val="20"/>
                <w:lang w:val="en-GB"/>
              </w:rPr>
              <w:t xml:space="preserve"> </w:t>
            </w:r>
            <w:r w:rsidRPr="00FF35DC">
              <w:rPr>
                <w:rStyle w:val="jlqj4b"/>
                <w:sz w:val="20"/>
                <w:lang w:val="en-GB"/>
              </w:rPr>
              <w:t xml:space="preserve">Team project. </w:t>
            </w:r>
          </w:p>
          <w:p w:rsidR="002344B3" w:rsidRPr="00FF35DC" w:rsidRDefault="00874691" w:rsidP="00874691">
            <w:pPr>
              <w:jc w:val="both"/>
              <w:rPr>
                <w:sz w:val="20"/>
                <w:lang w:val="en-GB"/>
              </w:rPr>
            </w:pPr>
            <w:r w:rsidRPr="00FF35DC">
              <w:rPr>
                <w:rStyle w:val="jlqj4b"/>
                <w:sz w:val="20"/>
                <w:lang w:val="en-GB"/>
              </w:rPr>
              <w:t>9. Project evaluation and summary.</w:t>
            </w:r>
          </w:p>
        </w:tc>
      </w:tr>
      <w:tr w:rsidR="00411DC5" w:rsidRPr="00EB6ADD" w:rsidTr="00411AA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BF3EDA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3E4DA6" w:rsidRDefault="003E4DA6" w:rsidP="00287BDB">
            <w:pPr>
              <w:jc w:val="both"/>
              <w:rPr>
                <w:sz w:val="20"/>
                <w:szCs w:val="20"/>
                <w:lang w:val="en-GB"/>
              </w:rPr>
            </w:pPr>
            <w:r w:rsidRPr="00FF35DC">
              <w:rPr>
                <w:rStyle w:val="jlqj4b"/>
                <w:sz w:val="20"/>
                <w:lang w:val="en-GB"/>
              </w:rPr>
              <w:t>Case method combined with a discussion of possi</w:t>
            </w:r>
            <w:r w:rsidR="00D76051">
              <w:rPr>
                <w:rStyle w:val="jlqj4b"/>
                <w:sz w:val="20"/>
                <w:lang w:val="en-GB"/>
              </w:rPr>
              <w:t xml:space="preserve">ble solutions and alternatives; </w:t>
            </w:r>
            <w:r w:rsidRPr="00FF35DC">
              <w:rPr>
                <w:rStyle w:val="jlqj4b"/>
                <w:sz w:val="20"/>
                <w:lang w:val="en-GB"/>
              </w:rPr>
              <w:t>exercises and tasks; team project;</w:t>
            </w:r>
            <w:r w:rsidRPr="00FF35DC">
              <w:rPr>
                <w:rStyle w:val="viiyi"/>
                <w:sz w:val="20"/>
                <w:lang w:val="en-GB"/>
              </w:rPr>
              <w:t xml:space="preserve"> </w:t>
            </w:r>
            <w:r w:rsidRPr="00FF35DC">
              <w:rPr>
                <w:rStyle w:val="jlqj4b"/>
                <w:sz w:val="20"/>
                <w:lang w:val="en-GB"/>
              </w:rPr>
              <w:t>informative lecture with the use of multimedia techniques.</w:t>
            </w:r>
          </w:p>
        </w:tc>
      </w:tr>
      <w:tr w:rsidR="00411DC5" w:rsidRPr="00E84A16" w:rsidTr="00411AA2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BF3ED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3E4DA6" w:rsidRPr="00FF35DC" w:rsidRDefault="003E4DA6" w:rsidP="003E4DA6">
            <w:pPr>
              <w:pStyle w:val="Akapitzlist"/>
              <w:tabs>
                <w:tab w:val="left" w:pos="23"/>
              </w:tabs>
              <w:ind w:left="23"/>
              <w:jc w:val="both"/>
              <w:rPr>
                <w:rStyle w:val="jlqj4b"/>
                <w:sz w:val="20"/>
                <w:lang w:val="en-GB"/>
              </w:rPr>
            </w:pPr>
            <w:r w:rsidRPr="00FF35DC">
              <w:rPr>
                <w:rStyle w:val="jlqj4b"/>
                <w:sz w:val="20"/>
                <w:lang w:val="en-GB"/>
              </w:rPr>
              <w:t>The condition for completing the course is achieving the required learning outcomes by the student.</w:t>
            </w:r>
            <w:r w:rsidRPr="00FF35DC">
              <w:rPr>
                <w:rStyle w:val="viiyi"/>
                <w:sz w:val="20"/>
                <w:lang w:val="en-GB"/>
              </w:rPr>
              <w:t xml:space="preserve"> </w:t>
            </w:r>
            <w:r w:rsidRPr="00FF35DC">
              <w:rPr>
                <w:rStyle w:val="jlqj4b"/>
                <w:sz w:val="20"/>
                <w:lang w:val="en-GB"/>
              </w:rPr>
              <w:t xml:space="preserve">Obtaining positive grades from all forms of classes included in the course is tantamount to obtaining by the student the number of ECTS points assigned to this subject. </w:t>
            </w:r>
            <w:r w:rsidR="00992859" w:rsidRPr="00FF35DC">
              <w:rPr>
                <w:rStyle w:val="jlqj4b"/>
                <w:sz w:val="20"/>
                <w:lang w:val="en-GB"/>
              </w:rPr>
              <w:t xml:space="preserve">             </w:t>
            </w:r>
            <w:r w:rsidRPr="00FF35DC">
              <w:rPr>
                <w:rStyle w:val="jlqj4b"/>
                <w:sz w:val="20"/>
                <w:lang w:val="en-GB"/>
              </w:rPr>
              <w:t>The method of calculating th</w:t>
            </w:r>
            <w:r w:rsidR="00992859" w:rsidRPr="00FF35DC">
              <w:rPr>
                <w:rStyle w:val="jlqj4b"/>
                <w:sz w:val="20"/>
                <w:lang w:val="en-GB"/>
              </w:rPr>
              <w:t xml:space="preserve">e grade </w:t>
            </w:r>
            <w:r w:rsidRPr="00FF35DC">
              <w:rPr>
                <w:rStyle w:val="jlqj4b"/>
                <w:sz w:val="20"/>
                <w:lang w:val="en-GB"/>
              </w:rPr>
              <w:t>is as follows:</w:t>
            </w:r>
          </w:p>
          <w:p w:rsidR="003E4DA6" w:rsidRPr="00FF35DC" w:rsidRDefault="003E4DA6" w:rsidP="003E4DA6">
            <w:pPr>
              <w:pStyle w:val="Akapitzlist"/>
              <w:tabs>
                <w:tab w:val="left" w:pos="23"/>
              </w:tabs>
              <w:ind w:left="23"/>
              <w:jc w:val="both"/>
              <w:rPr>
                <w:rStyle w:val="jlqj4b"/>
                <w:b/>
                <w:sz w:val="20"/>
                <w:lang w:val="en-GB"/>
              </w:rPr>
            </w:pPr>
            <w:r w:rsidRPr="00FF35DC">
              <w:rPr>
                <w:rStyle w:val="jlqj4b"/>
                <w:b/>
                <w:sz w:val="20"/>
                <w:lang w:val="en-GB"/>
              </w:rPr>
              <w:t>Workshop</w:t>
            </w:r>
          </w:p>
          <w:p w:rsidR="003E4DA6" w:rsidRPr="004610F8" w:rsidRDefault="003E4DA6" w:rsidP="003E4DA6">
            <w:pPr>
              <w:pStyle w:val="Akapitzlist"/>
              <w:tabs>
                <w:tab w:val="left" w:pos="23"/>
              </w:tabs>
              <w:ind w:left="23"/>
              <w:jc w:val="both"/>
              <w:rPr>
                <w:rStyle w:val="jlqj4b"/>
                <w:sz w:val="20"/>
                <w:lang w:val="en-GB"/>
              </w:rPr>
            </w:pPr>
            <w:r w:rsidRPr="004610F8">
              <w:rPr>
                <w:rStyle w:val="jlqj4b"/>
                <w:sz w:val="20"/>
                <w:lang w:val="en-GB"/>
              </w:rPr>
              <w:t>Preparation of a final work (team project) – 50 % of the grade</w:t>
            </w:r>
            <w:r w:rsidR="00992859" w:rsidRPr="004610F8">
              <w:rPr>
                <w:rStyle w:val="jlqj4b"/>
                <w:sz w:val="20"/>
                <w:lang w:val="en-GB"/>
              </w:rPr>
              <w:t>,</w:t>
            </w:r>
          </w:p>
          <w:p w:rsidR="003E4DA6" w:rsidRPr="004610F8" w:rsidRDefault="003E4DA6" w:rsidP="003E4DA6">
            <w:pPr>
              <w:pStyle w:val="Akapitzlist"/>
              <w:tabs>
                <w:tab w:val="left" w:pos="23"/>
              </w:tabs>
              <w:ind w:left="23"/>
              <w:jc w:val="both"/>
              <w:rPr>
                <w:rStyle w:val="jlqj4b"/>
                <w:sz w:val="20"/>
                <w:lang w:val="en-GB"/>
              </w:rPr>
            </w:pPr>
            <w:r w:rsidRPr="004610F8">
              <w:rPr>
                <w:rStyle w:val="jlqj4b"/>
                <w:sz w:val="20"/>
                <w:lang w:val="en-GB"/>
              </w:rPr>
              <w:t>Activity in classes – 50% of the grade.</w:t>
            </w:r>
          </w:p>
          <w:p w:rsidR="003E4DA6" w:rsidRPr="004610F8" w:rsidRDefault="003E4DA6" w:rsidP="003E4DA6">
            <w:pPr>
              <w:pStyle w:val="Akapitzlist"/>
              <w:tabs>
                <w:tab w:val="left" w:pos="23"/>
              </w:tabs>
              <w:ind w:left="23"/>
              <w:jc w:val="both"/>
              <w:rPr>
                <w:rStyle w:val="jlqj4b"/>
                <w:sz w:val="20"/>
                <w:lang w:val="en-GB"/>
              </w:rPr>
            </w:pPr>
            <w:r w:rsidRPr="004610F8">
              <w:rPr>
                <w:rStyle w:val="jlqj4b"/>
                <w:sz w:val="20"/>
                <w:lang w:val="en-GB"/>
              </w:rPr>
              <w:t xml:space="preserve">Activity in classes is assessed according to the following scale: </w:t>
            </w:r>
          </w:p>
          <w:p w:rsidR="003E4DA6" w:rsidRPr="004610F8" w:rsidRDefault="00E84A16" w:rsidP="00992859">
            <w:pPr>
              <w:pStyle w:val="Akapitzlist"/>
              <w:numPr>
                <w:ilvl w:val="0"/>
                <w:numId w:val="13"/>
              </w:numPr>
              <w:tabs>
                <w:tab w:val="left" w:pos="23"/>
              </w:tabs>
              <w:jc w:val="both"/>
              <w:rPr>
                <w:rStyle w:val="jlqj4b"/>
                <w:sz w:val="20"/>
                <w:lang w:val="en-GB"/>
              </w:rPr>
            </w:pPr>
            <w:r>
              <w:rPr>
                <w:rStyle w:val="jlqj4b"/>
                <w:sz w:val="20"/>
                <w:lang w:val="en-GB"/>
              </w:rPr>
              <w:t xml:space="preserve">very good </w:t>
            </w:r>
            <w:r w:rsidR="003E4DA6" w:rsidRPr="004610F8">
              <w:rPr>
                <w:rStyle w:val="jlqj4b"/>
                <w:sz w:val="20"/>
                <w:lang w:val="en-GB"/>
              </w:rPr>
              <w:t xml:space="preserve">(5) – activity in 9 and more classes, </w:t>
            </w:r>
          </w:p>
          <w:p w:rsidR="003E4DA6" w:rsidRPr="004610F8" w:rsidRDefault="003E4DA6" w:rsidP="00992859">
            <w:pPr>
              <w:pStyle w:val="Akapitzlist"/>
              <w:numPr>
                <w:ilvl w:val="0"/>
                <w:numId w:val="13"/>
              </w:numPr>
              <w:tabs>
                <w:tab w:val="left" w:pos="23"/>
              </w:tabs>
              <w:jc w:val="both"/>
              <w:rPr>
                <w:rStyle w:val="jlqj4b"/>
                <w:sz w:val="20"/>
              </w:rPr>
            </w:pPr>
            <w:proofErr w:type="spellStart"/>
            <w:r w:rsidRPr="004610F8">
              <w:rPr>
                <w:rStyle w:val="jlqj4b"/>
                <w:sz w:val="20"/>
              </w:rPr>
              <w:t>good</w:t>
            </w:r>
            <w:proofErr w:type="spellEnd"/>
            <w:r w:rsidRPr="004610F8">
              <w:rPr>
                <w:rStyle w:val="jlqj4b"/>
                <w:sz w:val="20"/>
              </w:rPr>
              <w:t xml:space="preserve"> (4) –</w:t>
            </w:r>
            <w:r w:rsidR="00992859" w:rsidRPr="004610F8">
              <w:rPr>
                <w:rStyle w:val="jlqj4b"/>
                <w:sz w:val="20"/>
              </w:rPr>
              <w:t xml:space="preserve"> </w:t>
            </w:r>
            <w:proofErr w:type="spellStart"/>
            <w:r w:rsidRPr="004610F8">
              <w:rPr>
                <w:rStyle w:val="jlqj4b"/>
                <w:sz w:val="20"/>
              </w:rPr>
              <w:t>activity</w:t>
            </w:r>
            <w:proofErr w:type="spellEnd"/>
            <w:r w:rsidRPr="004610F8">
              <w:rPr>
                <w:rStyle w:val="jlqj4b"/>
                <w:sz w:val="20"/>
              </w:rPr>
              <w:t xml:space="preserve"> in 6-8 classes,</w:t>
            </w:r>
          </w:p>
          <w:p w:rsidR="000B7A89" w:rsidRPr="00FF35DC" w:rsidRDefault="00E84A16" w:rsidP="00992859">
            <w:pPr>
              <w:pStyle w:val="Akapitzlist"/>
              <w:numPr>
                <w:ilvl w:val="0"/>
                <w:numId w:val="13"/>
              </w:numPr>
              <w:tabs>
                <w:tab w:val="left" w:pos="23"/>
              </w:tabs>
              <w:jc w:val="both"/>
              <w:rPr>
                <w:sz w:val="20"/>
                <w:lang w:val="en-GB"/>
              </w:rPr>
            </w:pPr>
            <w:r>
              <w:rPr>
                <w:rStyle w:val="jlqj4b"/>
                <w:sz w:val="20"/>
                <w:lang w:val="en-GB"/>
              </w:rPr>
              <w:t xml:space="preserve">satisfactory </w:t>
            </w:r>
            <w:r w:rsidR="00992859" w:rsidRPr="004610F8">
              <w:rPr>
                <w:rStyle w:val="jlqj4b"/>
                <w:sz w:val="20"/>
                <w:lang w:val="en-GB"/>
              </w:rPr>
              <w:t xml:space="preserve">(3) – activity </w:t>
            </w:r>
            <w:r w:rsidR="003E4DA6" w:rsidRPr="004610F8">
              <w:rPr>
                <w:rStyle w:val="jlqj4b"/>
                <w:sz w:val="20"/>
                <w:lang w:val="en-GB"/>
              </w:rPr>
              <w:t>in 3-5 classes</w:t>
            </w:r>
            <w:r w:rsidR="00992859" w:rsidRPr="004610F8">
              <w:rPr>
                <w:rStyle w:val="jlqj4b"/>
                <w:sz w:val="20"/>
                <w:lang w:val="en-GB"/>
              </w:rPr>
              <w:t>.</w:t>
            </w:r>
          </w:p>
        </w:tc>
      </w:tr>
    </w:tbl>
    <w:p w:rsidR="00411DC5" w:rsidRPr="003E4DA6" w:rsidRDefault="00411DC5" w:rsidP="00411DC5">
      <w:pPr>
        <w:rPr>
          <w:rFonts w:eastAsia="Calibri"/>
          <w:sz w:val="20"/>
          <w:szCs w:val="20"/>
          <w:lang w:val="en-GB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5C100B" w:rsidTr="00411AA2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:rsidTr="00411AA2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E6057" w:rsidRPr="00EB6ADD" w:rsidTr="00E11A10">
        <w:trPr>
          <w:jc w:val="center"/>
        </w:trPr>
        <w:tc>
          <w:tcPr>
            <w:tcW w:w="503" w:type="pct"/>
            <w:vAlign w:val="center"/>
          </w:tcPr>
          <w:p w:rsidR="001E6057" w:rsidRPr="00BD2D71" w:rsidRDefault="001E6057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D2D71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1E6057" w:rsidRPr="00992859" w:rsidRDefault="00992859" w:rsidP="00B1385B">
            <w:pPr>
              <w:rPr>
                <w:sz w:val="20"/>
                <w:szCs w:val="20"/>
                <w:lang w:val="en-GB"/>
              </w:rPr>
            </w:pPr>
            <w:r w:rsidRPr="00FF35DC">
              <w:rPr>
                <w:rStyle w:val="jlqj4b"/>
                <w:sz w:val="20"/>
                <w:lang w:val="en-GB"/>
              </w:rPr>
              <w:t>He knows new technologies (devices, systems, applications, programs) used in journalistic activity.</w:t>
            </w:r>
          </w:p>
        </w:tc>
        <w:tc>
          <w:tcPr>
            <w:tcW w:w="635" w:type="pct"/>
            <w:vAlign w:val="center"/>
          </w:tcPr>
          <w:p w:rsidR="001E6057" w:rsidRPr="00663431" w:rsidRDefault="00287BDB" w:rsidP="00287B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63431">
              <w:rPr>
                <w:sz w:val="20"/>
              </w:rPr>
              <w:t>K_WG02</w:t>
            </w:r>
          </w:p>
        </w:tc>
        <w:tc>
          <w:tcPr>
            <w:tcW w:w="705" w:type="pct"/>
            <w:vAlign w:val="center"/>
          </w:tcPr>
          <w:p w:rsidR="001E6057" w:rsidRPr="00BD2D71" w:rsidRDefault="00FF35DC" w:rsidP="00BD2D7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Workshop</w:t>
            </w:r>
            <w:proofErr w:type="spellEnd"/>
          </w:p>
        </w:tc>
        <w:tc>
          <w:tcPr>
            <w:tcW w:w="589" w:type="pct"/>
            <w:shd w:val="clear" w:color="auto" w:fill="auto"/>
            <w:vAlign w:val="center"/>
          </w:tcPr>
          <w:p w:rsidR="001E6057" w:rsidRPr="001F5388" w:rsidRDefault="00287BDB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FF35DC" w:rsidRDefault="00FF35DC" w:rsidP="00BF3EDA">
            <w:pPr>
              <w:jc w:val="center"/>
              <w:rPr>
                <w:sz w:val="20"/>
                <w:szCs w:val="20"/>
                <w:lang w:val="en-GB"/>
              </w:rPr>
            </w:pPr>
            <w:r w:rsidRPr="00D76051">
              <w:rPr>
                <w:rStyle w:val="jlqj4b"/>
                <w:sz w:val="20"/>
                <w:lang w:val="en-GB"/>
              </w:rPr>
              <w:t>Team project, discussion, exercises and tasks</w:t>
            </w:r>
          </w:p>
        </w:tc>
      </w:tr>
      <w:tr w:rsidR="001E6057" w:rsidRPr="005C100B" w:rsidTr="00E11A10">
        <w:trPr>
          <w:jc w:val="center"/>
        </w:trPr>
        <w:tc>
          <w:tcPr>
            <w:tcW w:w="503" w:type="pct"/>
            <w:vAlign w:val="center"/>
          </w:tcPr>
          <w:p w:rsidR="001E6057" w:rsidRPr="00BD2D71" w:rsidRDefault="00287BDB" w:rsidP="00287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D2D71">
              <w:rPr>
                <w:sz w:val="20"/>
                <w:szCs w:val="20"/>
              </w:rPr>
              <w:t>W2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1E6057" w:rsidRPr="00992859" w:rsidRDefault="00992859" w:rsidP="00B1385B">
            <w:pPr>
              <w:rPr>
                <w:sz w:val="20"/>
                <w:szCs w:val="20"/>
                <w:lang w:val="en-GB"/>
              </w:rPr>
            </w:pPr>
            <w:r w:rsidRPr="00FF35DC">
              <w:rPr>
                <w:rStyle w:val="jlqj4b"/>
                <w:sz w:val="20"/>
                <w:lang w:val="en-GB"/>
              </w:rPr>
              <w:t>He knows the socio-economic context of the new media technology market.</w:t>
            </w:r>
          </w:p>
        </w:tc>
        <w:tc>
          <w:tcPr>
            <w:tcW w:w="635" w:type="pct"/>
            <w:vAlign w:val="center"/>
          </w:tcPr>
          <w:p w:rsidR="001E6057" w:rsidRPr="00663431" w:rsidRDefault="00287BDB" w:rsidP="00695F4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63431">
              <w:rPr>
                <w:sz w:val="20"/>
              </w:rPr>
              <w:t>K_WG0</w:t>
            </w:r>
            <w:r w:rsidR="00695F41" w:rsidRPr="00663431">
              <w:rPr>
                <w:sz w:val="20"/>
              </w:rPr>
              <w:t>5</w:t>
            </w:r>
          </w:p>
          <w:p w:rsidR="00B1385B" w:rsidRPr="00663431" w:rsidRDefault="00B1385B" w:rsidP="00695F4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663431">
              <w:rPr>
                <w:sz w:val="20"/>
              </w:rPr>
              <w:t>K_WK08</w:t>
            </w:r>
          </w:p>
        </w:tc>
        <w:tc>
          <w:tcPr>
            <w:tcW w:w="705" w:type="pct"/>
            <w:vAlign w:val="center"/>
          </w:tcPr>
          <w:p w:rsidR="001E6057" w:rsidRPr="00BD2D71" w:rsidRDefault="00FF35DC" w:rsidP="00BD2D7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Workshop</w:t>
            </w:r>
            <w:proofErr w:type="spellEnd"/>
          </w:p>
        </w:tc>
        <w:tc>
          <w:tcPr>
            <w:tcW w:w="589" w:type="pct"/>
            <w:shd w:val="clear" w:color="auto" w:fill="auto"/>
            <w:vAlign w:val="center"/>
          </w:tcPr>
          <w:p w:rsidR="001E6057" w:rsidRPr="001F5388" w:rsidRDefault="00287BDB" w:rsidP="00CB7A77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865036" w:rsidRDefault="001E6057" w:rsidP="00CB7A77">
            <w:pPr>
              <w:jc w:val="center"/>
              <w:rPr>
                <w:sz w:val="20"/>
                <w:szCs w:val="20"/>
              </w:rPr>
            </w:pPr>
          </w:p>
        </w:tc>
      </w:tr>
      <w:tr w:rsidR="001E6057" w:rsidRPr="005C100B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57" w:rsidRPr="00BD2D71" w:rsidRDefault="001E6057" w:rsidP="00287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D2D71">
              <w:rPr>
                <w:sz w:val="20"/>
                <w:szCs w:val="20"/>
              </w:rPr>
              <w:t>U</w:t>
            </w:r>
            <w:r w:rsidR="00287BDB" w:rsidRPr="00BD2D71">
              <w:rPr>
                <w:sz w:val="20"/>
                <w:szCs w:val="20"/>
              </w:rPr>
              <w:t>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E6057" w:rsidRPr="00992859" w:rsidRDefault="00992859" w:rsidP="00B1385B">
            <w:pPr>
              <w:rPr>
                <w:color w:val="000000" w:themeColor="text1"/>
                <w:sz w:val="20"/>
                <w:szCs w:val="20"/>
                <w:lang w:val="en-GB"/>
              </w:rPr>
            </w:pPr>
            <w:r w:rsidRPr="00992859">
              <w:rPr>
                <w:rStyle w:val="jlqj4b"/>
                <w:sz w:val="20"/>
                <w:lang w:val="en-GB"/>
              </w:rPr>
              <w:t xml:space="preserve">He is </w:t>
            </w:r>
            <w:r w:rsidRPr="00FF35DC">
              <w:rPr>
                <w:rStyle w:val="jlqj4b"/>
                <w:sz w:val="20"/>
                <w:lang w:val="en-GB"/>
              </w:rPr>
              <w:t>able to create a team project using new tools, methods and techniques of information and communication.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57" w:rsidRPr="00663431" w:rsidRDefault="00287BDB" w:rsidP="00287B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63431">
              <w:rPr>
                <w:bCs/>
                <w:sz w:val="20"/>
              </w:rPr>
              <w:t>K_UW01</w:t>
            </w:r>
          </w:p>
          <w:p w:rsidR="00B1385B" w:rsidRPr="00663431" w:rsidRDefault="00B1385B" w:rsidP="00287BD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63431">
              <w:rPr>
                <w:bCs/>
                <w:sz w:val="20"/>
              </w:rPr>
              <w:t>K_UW03</w:t>
            </w:r>
          </w:p>
          <w:p w:rsidR="00BD2D71" w:rsidRPr="00663431" w:rsidRDefault="00BD2D71" w:rsidP="00287BD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</w:rPr>
            </w:pPr>
            <w:r w:rsidRPr="00663431">
              <w:rPr>
                <w:bCs/>
                <w:sz w:val="20"/>
              </w:rPr>
              <w:t>K_UO11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1E6057" w:rsidRPr="00BD2D71" w:rsidRDefault="00FF35DC" w:rsidP="00BD2D7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Workshop</w:t>
            </w:r>
            <w:proofErr w:type="spellEnd"/>
          </w:p>
        </w:tc>
        <w:tc>
          <w:tcPr>
            <w:tcW w:w="589" w:type="pct"/>
            <w:shd w:val="clear" w:color="auto" w:fill="auto"/>
            <w:vAlign w:val="center"/>
          </w:tcPr>
          <w:p w:rsidR="001E6057" w:rsidRPr="001F5388" w:rsidRDefault="00287BDB" w:rsidP="001E6057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865036" w:rsidRDefault="001E6057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1E6057" w:rsidRPr="005C100B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57" w:rsidRPr="00BD2D71" w:rsidRDefault="00287BDB" w:rsidP="00287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D2D71">
              <w:rPr>
                <w:sz w:val="20"/>
                <w:szCs w:val="20"/>
              </w:rPr>
              <w:t>U2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E6057" w:rsidRPr="00992859" w:rsidRDefault="00992859" w:rsidP="00B1385B">
            <w:pPr>
              <w:rPr>
                <w:color w:val="000000" w:themeColor="text1"/>
                <w:sz w:val="20"/>
                <w:szCs w:val="20"/>
                <w:lang w:val="en-GB"/>
              </w:rPr>
            </w:pPr>
            <w:r w:rsidRPr="00992859">
              <w:rPr>
                <w:rStyle w:val="jlqj4b"/>
                <w:sz w:val="20"/>
                <w:lang w:val="en-GB"/>
              </w:rPr>
              <w:t>He c</w:t>
            </w:r>
            <w:r w:rsidRPr="00FF35DC">
              <w:rPr>
                <w:rStyle w:val="jlqj4b"/>
                <w:sz w:val="20"/>
                <w:lang w:val="en-GB"/>
              </w:rPr>
              <w:t xml:space="preserve">an search and use information in </w:t>
            </w:r>
            <w:r w:rsidR="001F4070">
              <w:rPr>
                <w:rStyle w:val="jlqj4b"/>
                <w:sz w:val="20"/>
                <w:lang w:val="en-GB"/>
              </w:rPr>
              <w:t xml:space="preserve">Polish and English, concerning the </w:t>
            </w:r>
            <w:r w:rsidRPr="00FF35DC">
              <w:rPr>
                <w:rStyle w:val="jlqj4b"/>
                <w:sz w:val="20"/>
                <w:lang w:val="en-GB"/>
              </w:rPr>
              <w:t>new media technologies.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1E6057" w:rsidRPr="00663431" w:rsidRDefault="00695F41" w:rsidP="00B1385B">
            <w:pPr>
              <w:jc w:val="center"/>
              <w:rPr>
                <w:bCs/>
                <w:sz w:val="20"/>
              </w:rPr>
            </w:pPr>
            <w:r w:rsidRPr="00663431">
              <w:rPr>
                <w:bCs/>
                <w:sz w:val="20"/>
              </w:rPr>
              <w:t>K_UW02</w:t>
            </w:r>
          </w:p>
          <w:p w:rsidR="00B1385B" w:rsidRPr="00663431" w:rsidRDefault="00B1385B" w:rsidP="00B1385B">
            <w:pPr>
              <w:jc w:val="center"/>
              <w:rPr>
                <w:bCs/>
                <w:sz w:val="20"/>
              </w:rPr>
            </w:pPr>
            <w:r w:rsidRPr="00663431">
              <w:rPr>
                <w:bCs/>
                <w:sz w:val="20"/>
              </w:rPr>
              <w:t>K_UK10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1E6057" w:rsidRPr="00BD2D71" w:rsidRDefault="00FF35DC" w:rsidP="00BD2D7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Workshop</w:t>
            </w:r>
            <w:proofErr w:type="spellEnd"/>
          </w:p>
        </w:tc>
        <w:tc>
          <w:tcPr>
            <w:tcW w:w="589" w:type="pct"/>
            <w:shd w:val="clear" w:color="auto" w:fill="auto"/>
            <w:vAlign w:val="center"/>
          </w:tcPr>
          <w:p w:rsidR="001E6057" w:rsidRPr="001F5388" w:rsidRDefault="00287BDB" w:rsidP="001E6057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865036" w:rsidRDefault="001E6057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663431" w:rsidRPr="005C100B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31" w:rsidRPr="00BD2D71" w:rsidRDefault="00663431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63431" w:rsidRPr="00992859" w:rsidRDefault="00992859" w:rsidP="00B1385B">
            <w:pPr>
              <w:rPr>
                <w:color w:val="000000" w:themeColor="text1"/>
                <w:sz w:val="20"/>
                <w:szCs w:val="20"/>
                <w:lang w:val="en-GB"/>
              </w:rPr>
            </w:pPr>
            <w:r w:rsidRPr="00FF35DC">
              <w:rPr>
                <w:rStyle w:val="jlqj4b"/>
                <w:sz w:val="20"/>
                <w:lang w:val="en-GB"/>
              </w:rPr>
              <w:t xml:space="preserve">He can use specialist terminology in </w:t>
            </w:r>
            <w:r w:rsidR="001F4070">
              <w:rPr>
                <w:rStyle w:val="jlqj4b"/>
                <w:sz w:val="20"/>
                <w:lang w:val="en-GB"/>
              </w:rPr>
              <w:t xml:space="preserve">Polish and English, concerning the </w:t>
            </w:r>
            <w:r w:rsidRPr="00FF35DC">
              <w:rPr>
                <w:rStyle w:val="jlqj4b"/>
                <w:sz w:val="20"/>
                <w:lang w:val="en-GB"/>
              </w:rPr>
              <w:t>new media technologies – in individual and team work.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663431" w:rsidRPr="00663431" w:rsidRDefault="00663431" w:rsidP="00B1385B">
            <w:pPr>
              <w:jc w:val="center"/>
              <w:rPr>
                <w:bCs/>
                <w:sz w:val="20"/>
              </w:rPr>
            </w:pPr>
            <w:r w:rsidRPr="00663431">
              <w:rPr>
                <w:bCs/>
                <w:sz w:val="20"/>
              </w:rPr>
              <w:t>K_UK09</w:t>
            </w:r>
          </w:p>
          <w:p w:rsidR="00663431" w:rsidRPr="00663431" w:rsidRDefault="00663431" w:rsidP="00B1385B">
            <w:pPr>
              <w:jc w:val="center"/>
              <w:rPr>
                <w:bCs/>
                <w:sz w:val="20"/>
              </w:rPr>
            </w:pPr>
            <w:r w:rsidRPr="00663431">
              <w:rPr>
                <w:bCs/>
                <w:sz w:val="20"/>
              </w:rPr>
              <w:t>K_UO12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663431" w:rsidRPr="00BD2D71" w:rsidRDefault="00FF35DC" w:rsidP="009151B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Workshop</w:t>
            </w:r>
            <w:proofErr w:type="spellEnd"/>
          </w:p>
        </w:tc>
        <w:tc>
          <w:tcPr>
            <w:tcW w:w="589" w:type="pct"/>
            <w:shd w:val="clear" w:color="auto" w:fill="auto"/>
            <w:vAlign w:val="center"/>
          </w:tcPr>
          <w:p w:rsidR="00663431" w:rsidRPr="001F5388" w:rsidRDefault="00663431" w:rsidP="009151B7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3431" w:rsidRPr="00865036" w:rsidRDefault="00663431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287BDB" w:rsidRPr="005C100B" w:rsidTr="00287BD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BDB" w:rsidRPr="00BD2D71" w:rsidRDefault="00287BDB" w:rsidP="002E3D09">
            <w:pPr>
              <w:jc w:val="center"/>
              <w:rPr>
                <w:sz w:val="20"/>
                <w:szCs w:val="20"/>
              </w:rPr>
            </w:pPr>
            <w:r w:rsidRPr="00BD2D71"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87BDB" w:rsidRPr="00992859" w:rsidRDefault="00992859" w:rsidP="00B1385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  <w:lang w:val="en-GB"/>
              </w:rPr>
            </w:pPr>
            <w:r w:rsidRPr="00FF35DC">
              <w:rPr>
                <w:rStyle w:val="jlqj4b"/>
                <w:sz w:val="20"/>
                <w:lang w:val="en-GB"/>
              </w:rPr>
              <w:t>He is ready to deepen his knowledge of new media technologies and improve the skills of using them in professional activities.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663431" w:rsidRDefault="00287BDB" w:rsidP="002E3D09">
            <w:pPr>
              <w:jc w:val="center"/>
              <w:rPr>
                <w:bCs/>
                <w:sz w:val="20"/>
              </w:rPr>
            </w:pPr>
            <w:r w:rsidRPr="00663431">
              <w:rPr>
                <w:bCs/>
                <w:sz w:val="20"/>
              </w:rPr>
              <w:t>K_KK01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287BDB" w:rsidRDefault="00FF35DC" w:rsidP="00BD2D7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Workshop</w:t>
            </w:r>
            <w:proofErr w:type="spell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287BDB" w:rsidRDefault="00287BDB" w:rsidP="002E3D0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7BDB" w:rsidRPr="00865036" w:rsidRDefault="00287BDB" w:rsidP="002E3D09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EB6ADD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631D" w:rsidRPr="004610F8" w:rsidRDefault="006F460B" w:rsidP="0069631D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4610F8">
              <w:rPr>
                <w:b/>
                <w:bCs/>
                <w:sz w:val="20"/>
                <w:szCs w:val="20"/>
                <w:lang w:val="en-GB"/>
              </w:rPr>
              <w:t>Literatura</w:t>
            </w:r>
            <w:proofErr w:type="spellEnd"/>
            <w:r w:rsidRPr="004610F8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610F8">
              <w:rPr>
                <w:b/>
                <w:bCs/>
                <w:sz w:val="20"/>
                <w:szCs w:val="20"/>
                <w:lang w:val="en-GB"/>
              </w:rPr>
              <w:t>podstawowa</w:t>
            </w:r>
            <w:proofErr w:type="spellEnd"/>
            <w:r w:rsidR="0069631D" w:rsidRPr="004610F8">
              <w:rPr>
                <w:b/>
                <w:bCs/>
                <w:sz w:val="20"/>
                <w:szCs w:val="20"/>
                <w:lang w:val="en-GB"/>
              </w:rPr>
              <w:t>:</w:t>
            </w:r>
          </w:p>
          <w:p w:rsidR="0069631D" w:rsidRPr="004610F8" w:rsidRDefault="0069631D" w:rsidP="0069631D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Style w:val="reference-text"/>
                <w:bCs/>
                <w:sz w:val="20"/>
                <w:szCs w:val="20"/>
                <w:lang w:val="en-GB"/>
              </w:rPr>
            </w:pPr>
            <w:r w:rsidRPr="004610F8">
              <w:rPr>
                <w:sz w:val="20"/>
                <w:szCs w:val="20"/>
                <w:lang w:val="en-GB"/>
              </w:rPr>
              <w:t>Franklin B.</w:t>
            </w:r>
            <w:r w:rsidR="00BD2D71" w:rsidRPr="004610F8">
              <w:rPr>
                <w:sz w:val="20"/>
                <w:szCs w:val="20"/>
                <w:lang w:val="en-GB"/>
              </w:rPr>
              <w:t xml:space="preserve">, </w:t>
            </w:r>
            <w:r w:rsidRPr="004610F8">
              <w:rPr>
                <w:sz w:val="20"/>
                <w:szCs w:val="20"/>
                <w:lang w:val="en-GB"/>
              </w:rPr>
              <w:t>Eldridge</w:t>
            </w:r>
            <w:r w:rsidR="00BD2D71" w:rsidRPr="004610F8">
              <w:rPr>
                <w:sz w:val="20"/>
                <w:szCs w:val="20"/>
                <w:lang w:val="en-GB"/>
              </w:rPr>
              <w:t xml:space="preserve"> S., </w:t>
            </w:r>
            <w:r w:rsidRPr="004610F8">
              <w:rPr>
                <w:i/>
                <w:sz w:val="20"/>
                <w:szCs w:val="20"/>
                <w:lang w:val="en-GB"/>
              </w:rPr>
              <w:t xml:space="preserve">The </w:t>
            </w:r>
            <w:proofErr w:type="spellStart"/>
            <w:r w:rsidR="00BD2D71" w:rsidRPr="004610F8">
              <w:rPr>
                <w:i/>
                <w:sz w:val="20"/>
                <w:szCs w:val="20"/>
                <w:lang w:val="en-GB"/>
              </w:rPr>
              <w:t>Routledge</w:t>
            </w:r>
            <w:proofErr w:type="spellEnd"/>
            <w:r w:rsidR="00BD2D71" w:rsidRPr="004610F8">
              <w:rPr>
                <w:i/>
                <w:sz w:val="20"/>
                <w:szCs w:val="20"/>
                <w:lang w:val="en-GB"/>
              </w:rPr>
              <w:t xml:space="preserve"> Companion to Digital Journalism S</w:t>
            </w:r>
            <w:r w:rsidRPr="004610F8">
              <w:rPr>
                <w:i/>
                <w:sz w:val="20"/>
                <w:szCs w:val="20"/>
                <w:lang w:val="en-GB"/>
              </w:rPr>
              <w:t>tudies</w:t>
            </w:r>
            <w:r w:rsidRPr="004610F8">
              <w:rPr>
                <w:rStyle w:val="reference-text"/>
                <w:sz w:val="20"/>
                <w:szCs w:val="20"/>
                <w:lang w:val="en-GB"/>
              </w:rPr>
              <w:t>, London-New York 2019.</w:t>
            </w:r>
          </w:p>
          <w:p w:rsidR="0069631D" w:rsidRPr="004610F8" w:rsidRDefault="0069631D" w:rsidP="0069631D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Style w:val="reference-text"/>
                <w:sz w:val="20"/>
                <w:szCs w:val="20"/>
                <w:lang w:val="en-GB"/>
              </w:rPr>
            </w:pPr>
            <w:r w:rsidRPr="004610F8">
              <w:rPr>
                <w:rStyle w:val="reference-text"/>
                <w:sz w:val="20"/>
                <w:szCs w:val="20"/>
                <w:lang w:val="en-GB"/>
              </w:rPr>
              <w:t xml:space="preserve">Flew T., </w:t>
            </w:r>
            <w:r w:rsidRPr="004610F8">
              <w:rPr>
                <w:rStyle w:val="reference-text"/>
                <w:i/>
                <w:iCs/>
                <w:sz w:val="20"/>
                <w:szCs w:val="20"/>
                <w:lang w:val="en-GB"/>
              </w:rPr>
              <w:t>New Media</w:t>
            </w:r>
            <w:r w:rsidRPr="004610F8">
              <w:rPr>
                <w:rStyle w:val="reference-text"/>
                <w:sz w:val="20"/>
                <w:szCs w:val="20"/>
                <w:lang w:val="en-GB"/>
              </w:rPr>
              <w:t>, Oxford 2014.</w:t>
            </w:r>
          </w:p>
          <w:p w:rsidR="00BD2D71" w:rsidRPr="004610F8" w:rsidRDefault="00BD2D71" w:rsidP="0069631D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Style w:val="reference-text"/>
                <w:sz w:val="20"/>
                <w:szCs w:val="20"/>
                <w:lang w:val="en-GB"/>
              </w:rPr>
            </w:pPr>
          </w:p>
          <w:p w:rsidR="001633E0" w:rsidRPr="004610F8" w:rsidRDefault="001633E0" w:rsidP="0069631D">
            <w:pPr>
              <w:rPr>
                <w:b/>
                <w:sz w:val="20"/>
                <w:szCs w:val="20"/>
                <w:lang w:val="en-GB"/>
              </w:rPr>
            </w:pPr>
            <w:proofErr w:type="spellStart"/>
            <w:r w:rsidRPr="004610F8">
              <w:rPr>
                <w:b/>
                <w:sz w:val="20"/>
                <w:szCs w:val="20"/>
                <w:lang w:val="en-GB"/>
              </w:rPr>
              <w:t>Literatura</w:t>
            </w:r>
            <w:proofErr w:type="spellEnd"/>
            <w:r w:rsidRPr="004610F8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610F8">
              <w:rPr>
                <w:b/>
                <w:sz w:val="20"/>
                <w:szCs w:val="20"/>
                <w:lang w:val="en-GB"/>
              </w:rPr>
              <w:t>uzupełniająca</w:t>
            </w:r>
            <w:proofErr w:type="spellEnd"/>
            <w:r w:rsidRPr="004610F8">
              <w:rPr>
                <w:b/>
                <w:sz w:val="20"/>
                <w:szCs w:val="20"/>
                <w:lang w:val="en-GB"/>
              </w:rPr>
              <w:t>:</w:t>
            </w:r>
          </w:p>
          <w:p w:rsidR="00BD2D71" w:rsidRPr="004610F8" w:rsidRDefault="00BD2D71" w:rsidP="00BD2D71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  <w:lang w:val="en-GB"/>
              </w:rPr>
            </w:pPr>
            <w:proofErr w:type="spellStart"/>
            <w:r w:rsidRPr="004610F8">
              <w:rPr>
                <w:sz w:val="20"/>
                <w:szCs w:val="20"/>
                <w:lang w:val="en-GB"/>
              </w:rPr>
              <w:t>Umaschi</w:t>
            </w:r>
            <w:proofErr w:type="spellEnd"/>
            <w:r w:rsidRPr="004610F8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610F8">
              <w:rPr>
                <w:sz w:val="20"/>
                <w:szCs w:val="20"/>
                <w:lang w:val="en-GB"/>
              </w:rPr>
              <w:t>Bers</w:t>
            </w:r>
            <w:proofErr w:type="spellEnd"/>
            <w:r w:rsidRPr="004610F8">
              <w:rPr>
                <w:sz w:val="20"/>
                <w:szCs w:val="20"/>
                <w:lang w:val="en-GB"/>
              </w:rPr>
              <w:t xml:space="preserve"> M., </w:t>
            </w:r>
            <w:r w:rsidRPr="004610F8">
              <w:rPr>
                <w:i/>
                <w:sz w:val="20"/>
                <w:szCs w:val="20"/>
                <w:lang w:val="en-GB"/>
              </w:rPr>
              <w:t>New Media and Technology. Youth as Content Creators</w:t>
            </w:r>
            <w:r w:rsidRPr="004610F8">
              <w:rPr>
                <w:sz w:val="20"/>
                <w:szCs w:val="20"/>
                <w:lang w:val="en-GB"/>
              </w:rPr>
              <w:t>, San Francisco 2011.</w:t>
            </w:r>
          </w:p>
          <w:p w:rsidR="00BF3EDA" w:rsidRPr="004610F8" w:rsidRDefault="00BD2D71" w:rsidP="0069631D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Style w:val="ff1"/>
                <w:sz w:val="20"/>
                <w:szCs w:val="20"/>
                <w:lang w:val="en-GB"/>
              </w:rPr>
            </w:pPr>
            <w:r w:rsidRPr="004610F8">
              <w:rPr>
                <w:sz w:val="20"/>
                <w:szCs w:val="20"/>
                <w:lang w:val="en-GB"/>
              </w:rPr>
              <w:t xml:space="preserve">Newman N., </w:t>
            </w:r>
            <w:r w:rsidRPr="004610F8">
              <w:rPr>
                <w:rStyle w:val="ff1"/>
                <w:i/>
                <w:sz w:val="20"/>
                <w:szCs w:val="20"/>
                <w:lang w:val="en-GB"/>
              </w:rPr>
              <w:t>The rise of social media and its impact on mainstream media</w:t>
            </w:r>
            <w:r w:rsidRPr="004610F8">
              <w:rPr>
                <w:rStyle w:val="ff1"/>
                <w:sz w:val="20"/>
                <w:szCs w:val="20"/>
                <w:lang w:val="en-GB"/>
              </w:rPr>
              <w:t>, Oxford 2009.</w:t>
            </w:r>
          </w:p>
          <w:p w:rsidR="00BD2D71" w:rsidRPr="004610F8" w:rsidRDefault="00BD2D71" w:rsidP="0069631D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  <w:lang w:val="en-GB"/>
              </w:rPr>
            </w:pPr>
          </w:p>
          <w:p w:rsidR="00C85B6C" w:rsidRPr="00E84A16" w:rsidRDefault="00C85B6C" w:rsidP="00BF3EDA">
            <w:pPr>
              <w:rPr>
                <w:b/>
                <w:sz w:val="20"/>
                <w:szCs w:val="20"/>
                <w:lang w:val="en-GB"/>
              </w:rPr>
            </w:pPr>
            <w:proofErr w:type="spellStart"/>
            <w:r w:rsidRPr="00E84A16">
              <w:rPr>
                <w:b/>
                <w:sz w:val="20"/>
                <w:szCs w:val="20"/>
                <w:lang w:val="en-GB"/>
              </w:rPr>
              <w:t>Pomoce</w:t>
            </w:r>
            <w:proofErr w:type="spellEnd"/>
            <w:r w:rsidR="00287BDB" w:rsidRPr="00E84A16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84A16">
              <w:rPr>
                <w:b/>
                <w:sz w:val="20"/>
                <w:szCs w:val="20"/>
                <w:lang w:val="en-GB"/>
              </w:rPr>
              <w:t>naukowe</w:t>
            </w:r>
            <w:proofErr w:type="spellEnd"/>
            <w:r w:rsidRPr="00E84A16">
              <w:rPr>
                <w:b/>
                <w:sz w:val="20"/>
                <w:szCs w:val="20"/>
                <w:lang w:val="en-GB"/>
              </w:rPr>
              <w:t>:</w:t>
            </w:r>
          </w:p>
          <w:p w:rsidR="00411DC5" w:rsidRPr="004610F8" w:rsidRDefault="004610F8" w:rsidP="00BF3EDA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  <w:lang w:val="en-GB"/>
              </w:rPr>
            </w:pPr>
            <w:r w:rsidRPr="00E84A16">
              <w:rPr>
                <w:rStyle w:val="jlqj4b"/>
                <w:sz w:val="20"/>
                <w:szCs w:val="20"/>
                <w:lang w:val="en-GB"/>
              </w:rPr>
              <w:t>Computers with Internet connection, multimedia projector.</w:t>
            </w:r>
          </w:p>
        </w:tc>
      </w:tr>
    </w:tbl>
    <w:p w:rsidR="0094449C" w:rsidRPr="004610F8" w:rsidRDefault="0094449C" w:rsidP="00411DC5">
      <w:pPr>
        <w:rPr>
          <w:rFonts w:eastAsia="Calibri"/>
          <w:sz w:val="20"/>
          <w:szCs w:val="20"/>
          <w:lang w:val="en-GB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5C100B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B6ADD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C100B" w:rsidRDefault="00411DC5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:rsidTr="00B1385B">
        <w:trPr>
          <w:trHeight w:hRule="exact" w:val="1086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5C100B" w:rsidRDefault="00411DC5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D43F6D" w:rsidRPr="005C100B" w:rsidTr="00B42AA6">
        <w:trPr>
          <w:trHeight w:hRule="exact" w:val="308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B42AA6" w:rsidRDefault="00D43F6D" w:rsidP="00BF3E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B42AA6">
              <w:rPr>
                <w:rFonts w:eastAsia="Calibri"/>
                <w:sz w:val="20"/>
                <w:szCs w:val="20"/>
                <w:lang w:eastAsia="en-US"/>
              </w:rPr>
              <w:t xml:space="preserve">Udział w zajęciach </w:t>
            </w:r>
            <w:r w:rsidR="00B42AA6" w:rsidRPr="00B42AA6">
              <w:rPr>
                <w:rFonts w:eastAsia="Calibri"/>
                <w:sz w:val="20"/>
                <w:szCs w:val="20"/>
                <w:lang w:eastAsia="en-US"/>
              </w:rPr>
              <w:t>warsztatowych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C100B" w:rsidRDefault="00B42AA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C100B" w:rsidRDefault="00B42AA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C100B" w:rsidRDefault="00287BD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B42AA6" w:rsidRDefault="00D43F6D" w:rsidP="00BF3E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2AA6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C100B" w:rsidRDefault="00B42AA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C100B" w:rsidRDefault="00B42AA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C100B" w:rsidRDefault="00B42AA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C100B" w:rsidTr="00B42AA6">
        <w:trPr>
          <w:trHeight w:hRule="exact" w:val="27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B42AA6" w:rsidRDefault="00411DC5" w:rsidP="00BF3E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42AA6">
              <w:rPr>
                <w:sz w:val="20"/>
                <w:szCs w:val="20"/>
                <w:lang w:eastAsia="en-US"/>
              </w:rPr>
              <w:t xml:space="preserve">Przygotowanie do </w:t>
            </w:r>
            <w:r w:rsidR="00B42AA6">
              <w:rPr>
                <w:sz w:val="20"/>
                <w:szCs w:val="20"/>
                <w:lang w:eastAsia="en-US"/>
              </w:rPr>
              <w:t xml:space="preserve">zajęć i </w:t>
            </w:r>
            <w:r w:rsidR="00D43F6D" w:rsidRPr="00B42AA6">
              <w:rPr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C100B" w:rsidRDefault="00B42AA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C100B" w:rsidRDefault="00287BD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B42AA6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C100B" w:rsidRDefault="00B42AA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B42AA6" w:rsidRDefault="00D43F6D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2AA6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287BDB" w:rsidP="00287B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B42A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 xml:space="preserve">/ </w:t>
            </w:r>
            <w:r w:rsidR="00B42AA6">
              <w:rPr>
                <w:rFonts w:eastAsia="Calibri"/>
                <w:sz w:val="20"/>
                <w:szCs w:val="20"/>
                <w:lang w:eastAsia="en-US"/>
              </w:rPr>
              <w:t xml:space="preserve">0,2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7F413A" w:rsidP="00287B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B42A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B42AA6">
              <w:rPr>
                <w:rFonts w:eastAsia="Calibri"/>
                <w:sz w:val="20"/>
                <w:szCs w:val="20"/>
                <w:lang w:eastAsia="en-US"/>
              </w:rPr>
              <w:t xml:space="preserve"> 1</w:t>
            </w:r>
            <w:r w:rsidR="00BD2D71">
              <w:rPr>
                <w:rFonts w:eastAsia="Calibri"/>
                <w:sz w:val="20"/>
                <w:szCs w:val="20"/>
                <w:lang w:eastAsia="en-US"/>
              </w:rPr>
              <w:t>,0</w:t>
            </w:r>
            <w:r w:rsidR="00B42A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287BDB" w:rsidP="00287B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B42A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 xml:space="preserve">/ </w:t>
            </w:r>
            <w:r w:rsidR="00B42AA6">
              <w:rPr>
                <w:rFonts w:eastAsia="Calibri"/>
                <w:sz w:val="20"/>
                <w:szCs w:val="20"/>
                <w:lang w:eastAsia="en-US"/>
              </w:rPr>
              <w:t xml:space="preserve">0,8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B42AA6" w:rsidRDefault="00D43F6D" w:rsidP="00BF3ED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42AA6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D43F6D" w:rsidRPr="005C100B" w:rsidRDefault="00287BDB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81512"/>
    <w:multiLevelType w:val="hybridMultilevel"/>
    <w:tmpl w:val="736438E2"/>
    <w:lvl w:ilvl="0" w:tplc="A5A8918E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41D2B79"/>
    <w:multiLevelType w:val="hybridMultilevel"/>
    <w:tmpl w:val="7D78D386"/>
    <w:lvl w:ilvl="0" w:tplc="AD5059C6">
      <w:start w:val="4"/>
      <w:numFmt w:val="bullet"/>
      <w:lvlText w:val="-"/>
      <w:lvlJc w:val="left"/>
      <w:pPr>
        <w:ind w:left="383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4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FFB50B3"/>
    <w:multiLevelType w:val="hybridMultilevel"/>
    <w:tmpl w:val="E04EC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7"/>
  </w:num>
  <w:num w:numId="5">
    <w:abstractNumId w:val="4"/>
  </w:num>
  <w:num w:numId="6">
    <w:abstractNumId w:val="12"/>
  </w:num>
  <w:num w:numId="7">
    <w:abstractNumId w:val="0"/>
  </w:num>
  <w:num w:numId="8">
    <w:abstractNumId w:val="6"/>
  </w:num>
  <w:num w:numId="9">
    <w:abstractNumId w:val="5"/>
  </w:num>
  <w:num w:numId="10">
    <w:abstractNumId w:val="9"/>
  </w:num>
  <w:num w:numId="11">
    <w:abstractNumId w:val="10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223AB"/>
    <w:rsid w:val="000352CA"/>
    <w:rsid w:val="0008168E"/>
    <w:rsid w:val="000870B5"/>
    <w:rsid w:val="000B5C55"/>
    <w:rsid w:val="000B7A89"/>
    <w:rsid w:val="000E4868"/>
    <w:rsid w:val="000F5188"/>
    <w:rsid w:val="0010370D"/>
    <w:rsid w:val="00104762"/>
    <w:rsid w:val="00115549"/>
    <w:rsid w:val="001314E2"/>
    <w:rsid w:val="00141D04"/>
    <w:rsid w:val="00162347"/>
    <w:rsid w:val="001633E0"/>
    <w:rsid w:val="0017080E"/>
    <w:rsid w:val="001D7CE1"/>
    <w:rsid w:val="001E6057"/>
    <w:rsid w:val="001F4070"/>
    <w:rsid w:val="001F5388"/>
    <w:rsid w:val="00201E78"/>
    <w:rsid w:val="002344B3"/>
    <w:rsid w:val="00287BDB"/>
    <w:rsid w:val="0029173D"/>
    <w:rsid w:val="002C259F"/>
    <w:rsid w:val="002C5C17"/>
    <w:rsid w:val="002E2A54"/>
    <w:rsid w:val="002F61A6"/>
    <w:rsid w:val="003119E7"/>
    <w:rsid w:val="00313BE2"/>
    <w:rsid w:val="003173D0"/>
    <w:rsid w:val="003A33CA"/>
    <w:rsid w:val="003A6564"/>
    <w:rsid w:val="003A76D4"/>
    <w:rsid w:val="003A799C"/>
    <w:rsid w:val="003E4DA6"/>
    <w:rsid w:val="00411AA2"/>
    <w:rsid w:val="00411DC5"/>
    <w:rsid w:val="004300D4"/>
    <w:rsid w:val="004610F8"/>
    <w:rsid w:val="004666A1"/>
    <w:rsid w:val="00485BBF"/>
    <w:rsid w:val="004B01D4"/>
    <w:rsid w:val="004D721A"/>
    <w:rsid w:val="004F664B"/>
    <w:rsid w:val="00500225"/>
    <w:rsid w:val="00513FA6"/>
    <w:rsid w:val="00524904"/>
    <w:rsid w:val="00541FBC"/>
    <w:rsid w:val="00544C19"/>
    <w:rsid w:val="00552681"/>
    <w:rsid w:val="005643A7"/>
    <w:rsid w:val="0057133F"/>
    <w:rsid w:val="00572C19"/>
    <w:rsid w:val="005A05CA"/>
    <w:rsid w:val="005A43A9"/>
    <w:rsid w:val="00634628"/>
    <w:rsid w:val="00641A90"/>
    <w:rsid w:val="006572F9"/>
    <w:rsid w:val="00660387"/>
    <w:rsid w:val="00663431"/>
    <w:rsid w:val="00663D72"/>
    <w:rsid w:val="00676DA0"/>
    <w:rsid w:val="00695F41"/>
    <w:rsid w:val="0069631D"/>
    <w:rsid w:val="006B588E"/>
    <w:rsid w:val="006C345D"/>
    <w:rsid w:val="006C5AAF"/>
    <w:rsid w:val="006D015E"/>
    <w:rsid w:val="006D0528"/>
    <w:rsid w:val="006D60C1"/>
    <w:rsid w:val="006D61D7"/>
    <w:rsid w:val="006E1DBF"/>
    <w:rsid w:val="006E621B"/>
    <w:rsid w:val="006F460B"/>
    <w:rsid w:val="0071323F"/>
    <w:rsid w:val="00723672"/>
    <w:rsid w:val="00770B09"/>
    <w:rsid w:val="00786833"/>
    <w:rsid w:val="00792A86"/>
    <w:rsid w:val="007A7E6A"/>
    <w:rsid w:val="007D32B2"/>
    <w:rsid w:val="007E392F"/>
    <w:rsid w:val="007E6ADA"/>
    <w:rsid w:val="007F413A"/>
    <w:rsid w:val="008212F6"/>
    <w:rsid w:val="008226CB"/>
    <w:rsid w:val="00837BEE"/>
    <w:rsid w:val="00865036"/>
    <w:rsid w:val="00874691"/>
    <w:rsid w:val="008B33A5"/>
    <w:rsid w:val="008B7666"/>
    <w:rsid w:val="008D0BB0"/>
    <w:rsid w:val="008E3F46"/>
    <w:rsid w:val="008F6397"/>
    <w:rsid w:val="00912286"/>
    <w:rsid w:val="0094449C"/>
    <w:rsid w:val="0098787B"/>
    <w:rsid w:val="00992859"/>
    <w:rsid w:val="009B2923"/>
    <w:rsid w:val="009F25C1"/>
    <w:rsid w:val="009F4553"/>
    <w:rsid w:val="009F55B9"/>
    <w:rsid w:val="00A20EA2"/>
    <w:rsid w:val="00A37AEB"/>
    <w:rsid w:val="00A43314"/>
    <w:rsid w:val="00A57187"/>
    <w:rsid w:val="00A659B0"/>
    <w:rsid w:val="00A66B5B"/>
    <w:rsid w:val="00A92002"/>
    <w:rsid w:val="00AA4303"/>
    <w:rsid w:val="00AB7F0D"/>
    <w:rsid w:val="00AF3A5B"/>
    <w:rsid w:val="00B01D75"/>
    <w:rsid w:val="00B1385B"/>
    <w:rsid w:val="00B3160B"/>
    <w:rsid w:val="00B329EC"/>
    <w:rsid w:val="00B32FE5"/>
    <w:rsid w:val="00B42AA6"/>
    <w:rsid w:val="00B54372"/>
    <w:rsid w:val="00B56B69"/>
    <w:rsid w:val="00B8704F"/>
    <w:rsid w:val="00B93837"/>
    <w:rsid w:val="00BC5C03"/>
    <w:rsid w:val="00BD2D71"/>
    <w:rsid w:val="00BF3EDA"/>
    <w:rsid w:val="00C0001C"/>
    <w:rsid w:val="00C0360B"/>
    <w:rsid w:val="00C3166B"/>
    <w:rsid w:val="00C416ED"/>
    <w:rsid w:val="00C67AB5"/>
    <w:rsid w:val="00C85B6C"/>
    <w:rsid w:val="00C92681"/>
    <w:rsid w:val="00CA46A6"/>
    <w:rsid w:val="00CA6C84"/>
    <w:rsid w:val="00CB7A77"/>
    <w:rsid w:val="00CC34B9"/>
    <w:rsid w:val="00CD26FE"/>
    <w:rsid w:val="00CF0CF0"/>
    <w:rsid w:val="00CF66C8"/>
    <w:rsid w:val="00D03A8A"/>
    <w:rsid w:val="00D301FC"/>
    <w:rsid w:val="00D43F6D"/>
    <w:rsid w:val="00D51FD6"/>
    <w:rsid w:val="00D661D0"/>
    <w:rsid w:val="00D6774D"/>
    <w:rsid w:val="00D732A3"/>
    <w:rsid w:val="00D76051"/>
    <w:rsid w:val="00DA5DE7"/>
    <w:rsid w:val="00DB6583"/>
    <w:rsid w:val="00DC502E"/>
    <w:rsid w:val="00DE3EBA"/>
    <w:rsid w:val="00E03B36"/>
    <w:rsid w:val="00E11A10"/>
    <w:rsid w:val="00E47205"/>
    <w:rsid w:val="00E56972"/>
    <w:rsid w:val="00E629C8"/>
    <w:rsid w:val="00E73E72"/>
    <w:rsid w:val="00E77EDB"/>
    <w:rsid w:val="00E84A16"/>
    <w:rsid w:val="00E91EF2"/>
    <w:rsid w:val="00E943AA"/>
    <w:rsid w:val="00EB5C7C"/>
    <w:rsid w:val="00EB6ADD"/>
    <w:rsid w:val="00ED7A17"/>
    <w:rsid w:val="00F006B2"/>
    <w:rsid w:val="00F41C81"/>
    <w:rsid w:val="00F54625"/>
    <w:rsid w:val="00F61D7A"/>
    <w:rsid w:val="00F73055"/>
    <w:rsid w:val="00F805D7"/>
    <w:rsid w:val="00F81FDD"/>
    <w:rsid w:val="00FC041F"/>
    <w:rsid w:val="00FC085F"/>
    <w:rsid w:val="00FD37B5"/>
    <w:rsid w:val="00FE7F90"/>
    <w:rsid w:val="00FF3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B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7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87BDB"/>
    <w:rPr>
      <w:color w:val="0000FF"/>
      <w:u w:val="single"/>
    </w:rPr>
  </w:style>
  <w:style w:type="character" w:customStyle="1" w:styleId="wrtext">
    <w:name w:val="wrtext"/>
    <w:basedOn w:val="Domylnaczcionkaakapitu"/>
    <w:rsid w:val="00E77EDB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603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603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ddmd">
    <w:name w:val="addmd"/>
    <w:basedOn w:val="Domylnaczcionkaakapitu"/>
    <w:rsid w:val="002C5C17"/>
  </w:style>
  <w:style w:type="character" w:customStyle="1" w:styleId="reference-text">
    <w:name w:val="reference-text"/>
    <w:basedOn w:val="Domylnaczcionkaakapitu"/>
    <w:rsid w:val="00786833"/>
  </w:style>
  <w:style w:type="character" w:customStyle="1" w:styleId="ff1">
    <w:name w:val="ff1"/>
    <w:basedOn w:val="Domylnaczcionkaakapitu"/>
    <w:rsid w:val="00CF66C8"/>
  </w:style>
  <w:style w:type="character" w:customStyle="1" w:styleId="viiyi">
    <w:name w:val="viiyi"/>
    <w:basedOn w:val="Domylnaczcionkaakapitu"/>
    <w:rsid w:val="00874691"/>
  </w:style>
  <w:style w:type="character" w:customStyle="1" w:styleId="jlqj4b">
    <w:name w:val="jlqj4b"/>
    <w:basedOn w:val="Domylnaczcionkaakapitu"/>
    <w:rsid w:val="008746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775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Makuch</dc:creator>
  <cp:lastModifiedBy>xyz</cp:lastModifiedBy>
  <cp:revision>24</cp:revision>
  <dcterms:created xsi:type="dcterms:W3CDTF">2021-01-19T18:31:00Z</dcterms:created>
  <dcterms:modified xsi:type="dcterms:W3CDTF">2021-09-13T16:10:00Z</dcterms:modified>
</cp:coreProperties>
</file>