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B416CD" w:rsidRPr="00A427B5" w:rsidRDefault="00B416CD" w:rsidP="0053534F">
      <w:pPr>
        <w:jc w:val="center"/>
        <w:rPr>
          <w:rFonts w:eastAsia="Calibri"/>
          <w:b/>
          <w:bCs/>
          <w:spacing w:val="30"/>
          <w:sz w:val="8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211EDF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</w:t>
            </w:r>
            <w:r w:rsidR="00F83ABE">
              <w:rPr>
                <w:sz w:val="20"/>
                <w:szCs w:val="20"/>
              </w:rPr>
              <w:t>arketing</w:t>
            </w:r>
          </w:p>
        </w:tc>
      </w:tr>
      <w:tr w:rsidR="00104762" w:rsidRPr="007060A5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416CD" w:rsidRDefault="00B416CD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UTH/F/DZ/2/P/ST/B1/2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B416CD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211EDF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E-m</w:t>
            </w:r>
            <w:r w:rsidR="00F83ABE">
              <w:rPr>
                <w:sz w:val="20"/>
                <w:szCs w:val="20"/>
              </w:rPr>
              <w:t>arketing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8F0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 xml:space="preserve">Grupa </w:t>
            </w:r>
            <w:r>
              <w:rPr>
                <w:sz w:val="20"/>
                <w:szCs w:val="20"/>
              </w:rPr>
              <w:t>kierunkowych - obowiązkowych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71323F" w:rsidRPr="00655F95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B416CD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B416CD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B416CD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 w:rsidR="00B416CD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C5008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70E6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C5008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DA43D4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EF49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EF4957">
              <w:rPr>
                <w:sz w:val="20"/>
                <w:szCs w:val="20"/>
              </w:rPr>
              <w:t xml:space="preserve"> Filologiczno</w:t>
            </w:r>
            <w:r w:rsidR="003F7C28">
              <w:rPr>
                <w:sz w:val="20"/>
                <w:szCs w:val="20"/>
              </w:rPr>
              <w:t>-</w:t>
            </w:r>
            <w:r w:rsidR="00EF4957">
              <w:rPr>
                <w:sz w:val="20"/>
                <w:szCs w:val="20"/>
              </w:rPr>
              <w:t>Pedagogiczny</w:t>
            </w:r>
            <w:r w:rsidR="003F7C28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7445D1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F4957">
              <w:rPr>
                <w:sz w:val="20"/>
                <w:szCs w:val="20"/>
              </w:rPr>
              <w:t>r hab. W. Macierzyński</w:t>
            </w:r>
            <w:r w:rsidR="003F7C28">
              <w:rPr>
                <w:sz w:val="20"/>
                <w:szCs w:val="20"/>
              </w:rPr>
              <w:t xml:space="preserve">, prof. </w:t>
            </w:r>
            <w:proofErr w:type="spellStart"/>
            <w:r w:rsidR="003F7C28">
              <w:rPr>
                <w:sz w:val="20"/>
                <w:szCs w:val="20"/>
              </w:rPr>
              <w:t>UTH</w:t>
            </w:r>
            <w:r>
              <w:rPr>
                <w:sz w:val="20"/>
                <w:szCs w:val="20"/>
              </w:rPr>
              <w:t>Rad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3F7C28" w:rsidRDefault="003D6A47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EF4957" w:rsidRPr="003F7C28">
                <w:rPr>
                  <w:rStyle w:val="Hipercze"/>
                  <w:color w:val="auto"/>
                  <w:sz w:val="20"/>
                  <w:szCs w:val="20"/>
                  <w:u w:val="none"/>
                </w:rPr>
                <w:t>www.wfp.uniwersytetradom.pl</w:t>
              </w:r>
            </w:hyperlink>
            <w:r w:rsidR="00EF4957" w:rsidRPr="003F7C28">
              <w:rPr>
                <w:sz w:val="20"/>
                <w:szCs w:val="20"/>
              </w:rPr>
              <w:t xml:space="preserve"> </w:t>
            </w:r>
          </w:p>
        </w:tc>
      </w:tr>
      <w:tr w:rsidR="00C92681" w:rsidRPr="00EF495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3F7C28" w:rsidRDefault="003D6A47" w:rsidP="00EF49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hyperlink r:id="rId6" w:history="1">
              <w:r w:rsidR="00EF4957" w:rsidRPr="003F7C28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w.macierzynski@uthrad.pl</w:t>
              </w:r>
            </w:hyperlink>
            <w:r w:rsidR="00EF4957" w:rsidRPr="003F7C28">
              <w:rPr>
                <w:sz w:val="20"/>
                <w:szCs w:val="20"/>
                <w:lang w:val="en-US"/>
              </w:rPr>
              <w:t xml:space="preserve">, </w:t>
            </w:r>
            <w:r w:rsidR="00655F95" w:rsidRPr="003F7C28">
              <w:rPr>
                <w:sz w:val="20"/>
                <w:szCs w:val="20"/>
                <w:lang w:val="en-US"/>
              </w:rPr>
              <w:t xml:space="preserve"> </w:t>
            </w:r>
            <w:r w:rsidR="00EF4957" w:rsidRPr="003F7C28">
              <w:rPr>
                <w:sz w:val="20"/>
                <w:szCs w:val="20"/>
                <w:lang w:val="en-US"/>
              </w:rPr>
              <w:t>tel. +48 (48) 361 7360</w:t>
            </w:r>
          </w:p>
        </w:tc>
      </w:tr>
    </w:tbl>
    <w:p w:rsidR="00411DC5" w:rsidRPr="00655F95" w:rsidRDefault="0053534F" w:rsidP="00A427B5">
      <w:pPr>
        <w:spacing w:before="120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3B4C1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2D67F1" w:rsidP="001624A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Celem kształcenia jest zapoznanie studentów z zasadami</w:t>
            </w:r>
            <w:r w:rsidR="00492B5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technikami </w:t>
            </w:r>
            <w:r w:rsidR="008B4F7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</w:t>
            </w:r>
            <w:r w:rsidR="00492B5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i specyfiką działalności </w:t>
            </w:r>
            <w:r w:rsidR="001624AE">
              <w:rPr>
                <w:rFonts w:eastAsia="Calibri"/>
                <w:color w:val="000000"/>
                <w:sz w:val="20"/>
                <w:szCs w:val="20"/>
                <w:lang w:eastAsia="en-US"/>
              </w:rPr>
              <w:t>marketing</w:t>
            </w:r>
            <w:r w:rsidR="00492B5E">
              <w:rPr>
                <w:rFonts w:eastAsia="Calibri"/>
                <w:color w:val="000000"/>
                <w:sz w:val="20"/>
                <w:szCs w:val="20"/>
                <w:lang w:eastAsia="en-US"/>
              </w:rPr>
              <w:t>owej w nowych mediach na drodze analizy rzeczywistych przykładów takic</w:t>
            </w:r>
            <w:r w:rsidR="008B4F7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h działań, a także wykształcenie </w:t>
            </w:r>
            <w:r w:rsidR="00492B5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umiejętności i kompetencji w zakresie prowadzenia badań marketingowych oraz planowania i realizacji kampanii promocyjnych </w:t>
            </w:r>
            <w:r w:rsidR="008B4F7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492B5E">
              <w:rPr>
                <w:rFonts w:eastAsia="Calibri"/>
                <w:color w:val="000000"/>
                <w:sz w:val="20"/>
                <w:szCs w:val="20"/>
                <w:lang w:eastAsia="en-US"/>
              </w:rPr>
              <w:t>z wykorzystaniem nowych mediów.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3B4C11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53534F" w:rsidRDefault="00655F95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A15FEB" w:rsidRDefault="00A15FEB" w:rsidP="00A15F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Strategie i modele biznesu w </w:t>
            </w:r>
            <w:proofErr w:type="spellStart"/>
            <w:r>
              <w:rPr>
                <w:sz w:val="20"/>
                <w:szCs w:val="20"/>
              </w:rPr>
              <w:t>internecie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A15FEB" w:rsidRDefault="00A15FEB" w:rsidP="00A15F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Rodzaje podmiotów rynku marketingu internetowego (agencje </w:t>
            </w:r>
            <w:r>
              <w:rPr>
                <w:sz w:val="20"/>
                <w:szCs w:val="20"/>
              </w:rPr>
              <w:lastRenderedPageBreak/>
              <w:t xml:space="preserve">interaktywne, firmy badawcze, domy </w:t>
            </w:r>
            <w:proofErr w:type="spellStart"/>
            <w:r>
              <w:rPr>
                <w:sz w:val="20"/>
                <w:szCs w:val="20"/>
              </w:rPr>
              <w:t>mediowe</w:t>
            </w:r>
            <w:proofErr w:type="spellEnd"/>
            <w:r>
              <w:rPr>
                <w:sz w:val="20"/>
                <w:szCs w:val="20"/>
              </w:rPr>
              <w:t>, sieci reklamowe);</w:t>
            </w:r>
          </w:p>
          <w:p w:rsidR="00A15FEB" w:rsidRDefault="00A15FEB" w:rsidP="00A15F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Badania marketingowe w </w:t>
            </w:r>
            <w:proofErr w:type="spellStart"/>
            <w:r>
              <w:rPr>
                <w:sz w:val="20"/>
                <w:szCs w:val="20"/>
              </w:rPr>
              <w:t>internecie</w:t>
            </w:r>
            <w:proofErr w:type="spellEnd"/>
            <w:r>
              <w:rPr>
                <w:sz w:val="20"/>
                <w:szCs w:val="20"/>
              </w:rPr>
              <w:t xml:space="preserve"> – specyfika, podstawowe wskaźniki analizy rynku, klasyfikacja p/w przedmiotu badań</w:t>
            </w:r>
            <w:r w:rsidR="007A6BED">
              <w:rPr>
                <w:sz w:val="20"/>
                <w:szCs w:val="20"/>
              </w:rPr>
              <w:t>;</w:t>
            </w:r>
          </w:p>
          <w:p w:rsidR="00F03C2B" w:rsidRDefault="00A15FEB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Motywacje i zachowania konsumentów w sieci – segmentacja użytkowników na potrzeby marketingu;</w:t>
            </w:r>
          </w:p>
          <w:p w:rsidR="00A15FEB" w:rsidRDefault="00B95C41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Specyfika działań marketingowych w nowych mediach </w:t>
            </w:r>
            <w:r w:rsidR="00A15FEB">
              <w:rPr>
                <w:sz w:val="20"/>
                <w:szCs w:val="20"/>
              </w:rPr>
              <w:t>– strategie, planowanie, realizacja, monitoring efektywności;</w:t>
            </w:r>
          </w:p>
          <w:p w:rsidR="00A15FEB" w:rsidRDefault="007A6BED" w:rsidP="007A6B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Social</w:t>
            </w:r>
            <w:proofErr w:type="spellEnd"/>
            <w:r>
              <w:rPr>
                <w:sz w:val="20"/>
                <w:szCs w:val="20"/>
              </w:rPr>
              <w:t xml:space="preserve"> media jako narzędzie działalności marketingowej;</w:t>
            </w:r>
          </w:p>
          <w:p w:rsidR="00E551FF" w:rsidRDefault="00E551FF" w:rsidP="007A6B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Content</w:t>
            </w:r>
            <w:proofErr w:type="spellEnd"/>
            <w:r>
              <w:rPr>
                <w:sz w:val="20"/>
                <w:szCs w:val="20"/>
              </w:rPr>
              <w:t xml:space="preserve"> marketing jako strategia budowania długotrwałych i intensywnych relacji z klientami w sieci;</w:t>
            </w:r>
          </w:p>
          <w:p w:rsidR="007A6BED" w:rsidRPr="00F03C2B" w:rsidRDefault="007A6BED" w:rsidP="007A6B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Międzynarodowy wymiar marketingu sieciowego</w:t>
            </w:r>
            <w:r w:rsidR="00E551FF">
              <w:rPr>
                <w:sz w:val="20"/>
                <w:szCs w:val="20"/>
              </w:rPr>
              <w:t>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3B4C11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67F1" w:rsidRDefault="002D67F1" w:rsidP="002D67F1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wykład konwersatoryjny z wykorzystaniem technik i narzędzi multimedialnych</w:t>
            </w:r>
          </w:p>
          <w:p w:rsidR="002D67F1" w:rsidRDefault="002D67F1" w:rsidP="002D67F1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klasyczna i sytuacyjna metoda problemowa </w:t>
            </w:r>
            <w:bookmarkStart w:id="0" w:name="_GoBack"/>
            <w:bookmarkEnd w:id="0"/>
          </w:p>
          <w:p w:rsidR="00572C19" w:rsidRPr="00A851D5" w:rsidRDefault="002D67F1" w:rsidP="00A851D5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studium przypadku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3B4C11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 xml:space="preserve">. Uzyskanie pozytywnych ocen ze wszystkich form </w:t>
            </w:r>
            <w:r w:rsidR="004D3051">
              <w:rPr>
                <w:sz w:val="20"/>
                <w:szCs w:val="20"/>
              </w:rPr>
              <w:t>zaliczenia</w:t>
            </w:r>
            <w:r w:rsidRPr="00655F95">
              <w:rPr>
                <w:sz w:val="20"/>
                <w:szCs w:val="20"/>
              </w:rPr>
              <w:t xml:space="preserve"> przedmiotu jest równoznaczne ze zdobyciem przez studenta liczby punktów ECTS przyporządkowanej temu przedmiotowi. Sposób o</w:t>
            </w:r>
            <w:r w:rsidR="00885501">
              <w:rPr>
                <w:sz w:val="20"/>
                <w:szCs w:val="20"/>
              </w:rPr>
              <w:t xml:space="preserve">bliczania oceny z poszczególnych form </w:t>
            </w:r>
            <w:r w:rsidRPr="00655F95">
              <w:rPr>
                <w:sz w:val="20"/>
                <w:szCs w:val="20"/>
              </w:rPr>
              <w:t>zajęć przedstawia się następująco:</w:t>
            </w:r>
          </w:p>
          <w:p w:rsidR="00F03C2B" w:rsidRPr="0053534F" w:rsidRDefault="00F03C2B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  <w:r w:rsidR="002D67F1">
              <w:rPr>
                <w:b/>
                <w:sz w:val="20"/>
                <w:szCs w:val="20"/>
              </w:rPr>
              <w:t>:</w:t>
            </w:r>
          </w:p>
          <w:p w:rsidR="00F03C2B" w:rsidRDefault="008B4F70" w:rsidP="008B4F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Sprawdzian pisemny </w:t>
            </w:r>
            <w:r w:rsidR="00D667A4">
              <w:rPr>
                <w:sz w:val="20"/>
                <w:szCs w:val="20"/>
              </w:rPr>
              <w:t>obejmuje zadania sprawdzające wiedzę teoretyczną objętą kursem, jak  również umiejętność zastosowania tej wiedzy w rozwiązywaniu zadań praktycznych.</w:t>
            </w:r>
          </w:p>
          <w:p w:rsidR="00D667A4" w:rsidRDefault="00D667A4" w:rsidP="008B4F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Typy pytań: otwarte (za</w:t>
            </w:r>
            <w:r w:rsidR="008B4F70">
              <w:rPr>
                <w:sz w:val="20"/>
                <w:szCs w:val="20"/>
              </w:rPr>
              <w:t xml:space="preserve">dania typu wyjaśniającego oraz </w:t>
            </w:r>
            <w:r>
              <w:rPr>
                <w:sz w:val="20"/>
                <w:szCs w:val="20"/>
              </w:rPr>
              <w:t xml:space="preserve">krótkie wypowiedzi pisemne na zadany temat z listy zagadnień objętych kursem). </w:t>
            </w:r>
          </w:p>
          <w:p w:rsidR="008B4F70" w:rsidRDefault="00D667A4" w:rsidP="008B4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ze</w:t>
            </w:r>
            <w:r w:rsidR="008B4F70">
              <w:rPr>
                <w:sz w:val="20"/>
                <w:szCs w:val="20"/>
              </w:rPr>
              <w:t xml:space="preserve"> sprawdzianu pisemnego </w:t>
            </w:r>
            <w:r>
              <w:rPr>
                <w:sz w:val="20"/>
                <w:szCs w:val="20"/>
              </w:rPr>
              <w:t>stanowi 100</w:t>
            </w:r>
            <w:r w:rsidR="008B4F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% </w:t>
            </w:r>
            <w:r w:rsidR="008B4F70">
              <w:rPr>
                <w:sz w:val="20"/>
                <w:szCs w:val="20"/>
              </w:rPr>
              <w:t>oceny końcowej</w:t>
            </w:r>
            <w:r>
              <w:rPr>
                <w:sz w:val="20"/>
                <w:szCs w:val="20"/>
              </w:rPr>
              <w:t xml:space="preserve">; ocena </w:t>
            </w:r>
            <w:r w:rsidR="008B4F70">
              <w:rPr>
                <w:sz w:val="20"/>
                <w:szCs w:val="20"/>
              </w:rPr>
              <w:t xml:space="preserve">jest </w:t>
            </w:r>
            <w:r>
              <w:rPr>
                <w:sz w:val="20"/>
                <w:szCs w:val="20"/>
              </w:rPr>
              <w:t xml:space="preserve">obliczana według skali punktowej: </w:t>
            </w:r>
          </w:p>
          <w:p w:rsidR="00D667A4" w:rsidRPr="00655F95" w:rsidRDefault="00D667A4" w:rsidP="008B4F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60</w:t>
            </w:r>
            <w:r w:rsidR="008B4F70">
              <w:rPr>
                <w:sz w:val="20"/>
                <w:szCs w:val="20"/>
              </w:rPr>
              <w:t xml:space="preserve"> % </w:t>
            </w:r>
            <w:proofErr w:type="spellStart"/>
            <w:r w:rsidR="008B4F70">
              <w:rPr>
                <w:sz w:val="20"/>
                <w:szCs w:val="20"/>
              </w:rPr>
              <w:t>pkt</w:t>
            </w:r>
            <w:proofErr w:type="spellEnd"/>
            <w:r w:rsidR="008B4F70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3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), od 75</w:t>
            </w:r>
            <w:r w:rsidR="008B4F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% </w:t>
            </w:r>
            <w:proofErr w:type="spellStart"/>
            <w:r w:rsidR="008B4F70">
              <w:rPr>
                <w:sz w:val="20"/>
                <w:szCs w:val="20"/>
              </w:rPr>
              <w:t>pkt</w:t>
            </w:r>
            <w:proofErr w:type="spellEnd"/>
            <w:r w:rsidR="008B4F70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4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), od 90</w:t>
            </w:r>
            <w:r w:rsidR="008B4F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% </w:t>
            </w:r>
            <w:proofErr w:type="spellStart"/>
            <w:r w:rsidR="008B4F70">
              <w:rPr>
                <w:sz w:val="20"/>
                <w:szCs w:val="20"/>
              </w:rPr>
              <w:t>pkt</w:t>
            </w:r>
            <w:proofErr w:type="spellEnd"/>
            <w:r w:rsidR="008B4F70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5 (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>).</w:t>
            </w:r>
          </w:p>
        </w:tc>
      </w:tr>
    </w:tbl>
    <w:p w:rsidR="00411DC5" w:rsidRPr="003B4C11" w:rsidRDefault="00411DC5" w:rsidP="003B4C11">
      <w:pPr>
        <w:ind w:firstLine="708"/>
        <w:rPr>
          <w:rFonts w:eastAsia="Calibri"/>
          <w:sz w:val="6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793"/>
        <w:gridCol w:w="1216"/>
        <w:gridCol w:w="2394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0C5008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A23ED2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F03C2B" w:rsidRPr="00655F95" w:rsidRDefault="00A23ED2" w:rsidP="003B4C11">
            <w:pPr>
              <w:rPr>
                <w:color w:val="000000"/>
                <w:sz w:val="20"/>
                <w:szCs w:val="20"/>
              </w:rPr>
            </w:pPr>
            <w:r w:rsidRPr="00A23ED2">
              <w:rPr>
                <w:color w:val="000000"/>
                <w:sz w:val="20"/>
                <w:szCs w:val="20"/>
              </w:rPr>
              <w:t xml:space="preserve">Zna w stopniu pogłębionym nowoczesne narzędzia, metody i techniki </w:t>
            </w:r>
            <w:r>
              <w:rPr>
                <w:color w:val="000000"/>
                <w:sz w:val="20"/>
                <w:szCs w:val="20"/>
              </w:rPr>
              <w:t>marketingowe</w:t>
            </w:r>
            <w:r w:rsidRPr="00A23ED2">
              <w:rPr>
                <w:color w:val="000000"/>
                <w:sz w:val="20"/>
                <w:szCs w:val="20"/>
              </w:rPr>
              <w:t xml:space="preserve"> (media cyfrowe, sieciowe, mobilne).</w:t>
            </w:r>
          </w:p>
        </w:tc>
        <w:tc>
          <w:tcPr>
            <w:tcW w:w="575" w:type="pct"/>
            <w:vAlign w:val="center"/>
          </w:tcPr>
          <w:p w:rsidR="00F03C2B" w:rsidRPr="00A23ED2" w:rsidRDefault="00A23ED2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A23ED2">
              <w:rPr>
                <w:color w:val="000000"/>
                <w:sz w:val="20"/>
                <w:szCs w:val="20"/>
              </w:rPr>
              <w:t>K_WG02</w:t>
            </w:r>
          </w:p>
        </w:tc>
        <w:tc>
          <w:tcPr>
            <w:tcW w:w="1132" w:type="pct"/>
            <w:vAlign w:val="center"/>
          </w:tcPr>
          <w:p w:rsidR="00F03C2B" w:rsidRPr="00F204CE" w:rsidRDefault="000C5008" w:rsidP="000C5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F03C2B" w:rsidRPr="00F204CE" w:rsidRDefault="0065340E" w:rsidP="003B4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A23ED2" w:rsidRDefault="00A23ED2" w:rsidP="003B4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Sprawdzian pisemny – pytania otwarte</w:t>
            </w:r>
          </w:p>
        </w:tc>
      </w:tr>
      <w:tr w:rsidR="00A23ED2" w:rsidRPr="00655F95" w:rsidTr="003B4C11">
        <w:trPr>
          <w:trHeight w:val="650"/>
          <w:jc w:val="center"/>
        </w:trPr>
        <w:tc>
          <w:tcPr>
            <w:tcW w:w="391" w:type="pct"/>
            <w:vAlign w:val="center"/>
          </w:tcPr>
          <w:p w:rsidR="00A23ED2" w:rsidRPr="00655F95" w:rsidRDefault="00A23ED2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B4C11" w:rsidRDefault="00A23ED2" w:rsidP="003B4C11">
            <w:pPr>
              <w:rPr>
                <w:color w:val="000000"/>
                <w:sz w:val="20"/>
                <w:szCs w:val="20"/>
              </w:rPr>
            </w:pPr>
            <w:r w:rsidRPr="00A23ED2">
              <w:rPr>
                <w:color w:val="000000"/>
                <w:sz w:val="20"/>
                <w:szCs w:val="20"/>
              </w:rPr>
              <w:t xml:space="preserve">Zna cele, instrumenty, metody i techniki </w:t>
            </w:r>
          </w:p>
          <w:p w:rsidR="00A23ED2" w:rsidRPr="00655F95" w:rsidRDefault="00A23ED2" w:rsidP="003B4C11">
            <w:pPr>
              <w:rPr>
                <w:color w:val="000000"/>
                <w:sz w:val="20"/>
                <w:szCs w:val="20"/>
              </w:rPr>
            </w:pPr>
            <w:r w:rsidRPr="00A23ED2">
              <w:rPr>
                <w:color w:val="000000"/>
                <w:sz w:val="20"/>
                <w:szCs w:val="20"/>
              </w:rPr>
              <w:t>e-marketingu.</w:t>
            </w:r>
          </w:p>
        </w:tc>
        <w:tc>
          <w:tcPr>
            <w:tcW w:w="575" w:type="pct"/>
            <w:vAlign w:val="center"/>
          </w:tcPr>
          <w:p w:rsidR="00A23ED2" w:rsidRPr="00A23ED2" w:rsidRDefault="00A23ED2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A23ED2">
              <w:rPr>
                <w:color w:val="000000"/>
                <w:sz w:val="20"/>
                <w:szCs w:val="20"/>
              </w:rPr>
              <w:t>K_WG06</w:t>
            </w:r>
          </w:p>
        </w:tc>
        <w:tc>
          <w:tcPr>
            <w:tcW w:w="1132" w:type="pct"/>
            <w:vAlign w:val="center"/>
          </w:tcPr>
          <w:p w:rsidR="00A23ED2" w:rsidRDefault="00A23ED2" w:rsidP="000C5008">
            <w:pPr>
              <w:jc w:val="center"/>
            </w:pPr>
            <w:r w:rsidRPr="00FA2454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23ED2" w:rsidRDefault="0065340E" w:rsidP="003B4C11">
            <w:pPr>
              <w:jc w:val="center"/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3ED2" w:rsidRPr="003B4C11" w:rsidRDefault="00A23ED2" w:rsidP="003B4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Sprawdzian pisemny – pytania otwarte</w:t>
            </w:r>
          </w:p>
        </w:tc>
      </w:tr>
      <w:tr w:rsidR="00A23ED2" w:rsidRPr="00655F95" w:rsidTr="00A23ED2">
        <w:trPr>
          <w:jc w:val="center"/>
        </w:trPr>
        <w:tc>
          <w:tcPr>
            <w:tcW w:w="391" w:type="pct"/>
            <w:vAlign w:val="center"/>
          </w:tcPr>
          <w:p w:rsidR="00A23ED2" w:rsidRPr="00655F95" w:rsidRDefault="00A23ED2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B4C11" w:rsidRDefault="00B31670" w:rsidP="003B4C11">
            <w:pPr>
              <w:rPr>
                <w:color w:val="000000"/>
                <w:sz w:val="20"/>
                <w:szCs w:val="20"/>
              </w:rPr>
            </w:pPr>
            <w:r w:rsidRPr="00B31670">
              <w:rPr>
                <w:color w:val="000000"/>
                <w:sz w:val="20"/>
                <w:szCs w:val="20"/>
              </w:rPr>
              <w:t>Umie wykonywać zadania typowe dla zawod</w:t>
            </w:r>
            <w:r w:rsidR="00C86F9B">
              <w:rPr>
                <w:color w:val="000000"/>
                <w:sz w:val="20"/>
                <w:szCs w:val="20"/>
              </w:rPr>
              <w:t>u</w:t>
            </w:r>
            <w:r w:rsidRPr="00B3167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1670">
              <w:rPr>
                <w:color w:val="000000"/>
                <w:sz w:val="20"/>
                <w:szCs w:val="20"/>
              </w:rPr>
              <w:t>e-marketingowca</w:t>
            </w:r>
            <w:proofErr w:type="spellEnd"/>
            <w:r w:rsidRPr="00B31670">
              <w:rPr>
                <w:color w:val="000000"/>
                <w:sz w:val="20"/>
                <w:szCs w:val="20"/>
              </w:rPr>
              <w:t>: tworzyć merytoryczne, rzetelne przekazy multimedialne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31670">
              <w:rPr>
                <w:color w:val="000000"/>
                <w:sz w:val="20"/>
                <w:szCs w:val="20"/>
              </w:rPr>
              <w:t xml:space="preserve">budować społeczności i realizować projekty społeczne </w:t>
            </w:r>
          </w:p>
          <w:p w:rsidR="00A23ED2" w:rsidRPr="00655F95" w:rsidRDefault="00B31670" w:rsidP="003B4C11">
            <w:pPr>
              <w:rPr>
                <w:color w:val="000000"/>
                <w:sz w:val="20"/>
                <w:szCs w:val="20"/>
              </w:rPr>
            </w:pPr>
            <w:r w:rsidRPr="00B31670">
              <w:rPr>
                <w:color w:val="000000"/>
                <w:sz w:val="20"/>
                <w:szCs w:val="20"/>
              </w:rPr>
              <w:t>i ekonomiczne; kreować wizerunek i markę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31670">
              <w:rPr>
                <w:color w:val="000000"/>
                <w:sz w:val="20"/>
                <w:szCs w:val="20"/>
              </w:rPr>
              <w:t>projektować, promować i reklamować produkty lub usługi.</w:t>
            </w:r>
          </w:p>
        </w:tc>
        <w:tc>
          <w:tcPr>
            <w:tcW w:w="575" w:type="pct"/>
            <w:vAlign w:val="center"/>
          </w:tcPr>
          <w:p w:rsidR="00A23ED2" w:rsidRPr="00A23ED2" w:rsidRDefault="00B31670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B31670">
              <w:rPr>
                <w:color w:val="000000"/>
                <w:sz w:val="20"/>
                <w:szCs w:val="20"/>
              </w:rPr>
              <w:t>K_UW01</w:t>
            </w:r>
          </w:p>
        </w:tc>
        <w:tc>
          <w:tcPr>
            <w:tcW w:w="1132" w:type="pct"/>
            <w:vAlign w:val="center"/>
          </w:tcPr>
          <w:p w:rsidR="00A23ED2" w:rsidRDefault="00A23ED2" w:rsidP="000C5008">
            <w:pPr>
              <w:jc w:val="center"/>
            </w:pPr>
            <w:r w:rsidRPr="00FA2454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23ED2" w:rsidRDefault="0065340E" w:rsidP="003B4C11">
            <w:pPr>
              <w:jc w:val="center"/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3ED2" w:rsidRPr="003B4C11" w:rsidRDefault="00A23ED2" w:rsidP="003B4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Sprawdzian pisemny – pytania otwarte</w:t>
            </w:r>
          </w:p>
        </w:tc>
      </w:tr>
      <w:tr w:rsidR="00A23ED2" w:rsidRPr="00655F95" w:rsidTr="00A23ED2">
        <w:trPr>
          <w:jc w:val="center"/>
        </w:trPr>
        <w:tc>
          <w:tcPr>
            <w:tcW w:w="391" w:type="pct"/>
            <w:vAlign w:val="center"/>
          </w:tcPr>
          <w:p w:rsidR="00A23ED2" w:rsidRPr="00655F95" w:rsidRDefault="00A23ED2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A23ED2" w:rsidRPr="00655F95" w:rsidRDefault="00B31670" w:rsidP="003B4C11">
            <w:pPr>
              <w:rPr>
                <w:color w:val="000000"/>
                <w:sz w:val="20"/>
                <w:szCs w:val="20"/>
              </w:rPr>
            </w:pPr>
            <w:r w:rsidRPr="00B31670">
              <w:rPr>
                <w:color w:val="000000"/>
                <w:sz w:val="20"/>
                <w:szCs w:val="20"/>
              </w:rPr>
              <w:t>Umie posługiwać się nowoczesnymi urządzeniami, programami i aplikacjami, przydatnymi w działalności e-marketingowej</w:t>
            </w:r>
            <w:r w:rsidR="003B4C1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vAlign w:val="center"/>
          </w:tcPr>
          <w:p w:rsidR="00A23ED2" w:rsidRPr="00655F95" w:rsidRDefault="00B31670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B31670">
              <w:rPr>
                <w:color w:val="000000"/>
                <w:sz w:val="20"/>
                <w:szCs w:val="20"/>
              </w:rPr>
              <w:t>K_UW03</w:t>
            </w:r>
          </w:p>
        </w:tc>
        <w:tc>
          <w:tcPr>
            <w:tcW w:w="1132" w:type="pct"/>
            <w:vAlign w:val="center"/>
          </w:tcPr>
          <w:p w:rsidR="00A23ED2" w:rsidRDefault="00A23ED2" w:rsidP="000C5008">
            <w:pPr>
              <w:jc w:val="center"/>
            </w:pPr>
            <w:r w:rsidRPr="00FA2454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23ED2" w:rsidRDefault="0065340E" w:rsidP="003B4C11">
            <w:pPr>
              <w:jc w:val="center"/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3ED2" w:rsidRPr="008D57FB" w:rsidRDefault="00A23ED2" w:rsidP="003B4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Sprawdzian pisemny – pytania otwarte</w:t>
            </w:r>
          </w:p>
        </w:tc>
      </w:tr>
      <w:tr w:rsidR="008D57FB" w:rsidRPr="00655F95" w:rsidTr="00A23ED2">
        <w:trPr>
          <w:jc w:val="center"/>
        </w:trPr>
        <w:tc>
          <w:tcPr>
            <w:tcW w:w="391" w:type="pct"/>
            <w:vAlign w:val="center"/>
          </w:tcPr>
          <w:p w:rsidR="008D57FB" w:rsidRDefault="008D57F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8D57FB" w:rsidRPr="00B31670" w:rsidRDefault="008D57FB" w:rsidP="003B4C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Umie </w:t>
            </w:r>
            <w:r w:rsidRPr="00B31670">
              <w:rPr>
                <w:color w:val="000000"/>
                <w:sz w:val="20"/>
                <w:szCs w:val="20"/>
              </w:rPr>
              <w:t xml:space="preserve">prowadzić badania </w:t>
            </w:r>
            <w:r>
              <w:rPr>
                <w:color w:val="000000"/>
                <w:sz w:val="20"/>
                <w:szCs w:val="20"/>
              </w:rPr>
              <w:t>marketingowe</w:t>
            </w:r>
            <w:r w:rsidRPr="00B31670">
              <w:rPr>
                <w:color w:val="000000"/>
                <w:sz w:val="20"/>
                <w:szCs w:val="20"/>
              </w:rPr>
              <w:t xml:space="preserve"> zwłaszcza </w:t>
            </w:r>
            <w:r>
              <w:rPr>
                <w:color w:val="000000"/>
                <w:sz w:val="20"/>
                <w:szCs w:val="20"/>
              </w:rPr>
              <w:t>z wykorzystaniem nowych mediów</w:t>
            </w:r>
            <w:r w:rsidRPr="00B31670">
              <w:rPr>
                <w:color w:val="000000"/>
                <w:sz w:val="20"/>
                <w:szCs w:val="20"/>
              </w:rPr>
              <w:t>; potrafi w oparciu o wyniki tych badań tworzyć i w</w:t>
            </w:r>
            <w:r>
              <w:rPr>
                <w:color w:val="000000"/>
                <w:sz w:val="20"/>
                <w:szCs w:val="20"/>
              </w:rPr>
              <w:t>drażać</w:t>
            </w:r>
            <w:r w:rsidRPr="00B31670">
              <w:rPr>
                <w:color w:val="000000"/>
                <w:sz w:val="20"/>
                <w:szCs w:val="20"/>
              </w:rPr>
              <w:t xml:space="preserve"> nowe rozwiązania </w:t>
            </w:r>
            <w:r>
              <w:rPr>
                <w:color w:val="000000"/>
                <w:sz w:val="20"/>
                <w:szCs w:val="20"/>
              </w:rPr>
              <w:t>promocyjne</w:t>
            </w:r>
            <w:r w:rsidRPr="00B3167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8D57FB" w:rsidRPr="00B31670" w:rsidRDefault="008D57FB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8D57FB">
              <w:rPr>
                <w:color w:val="000000"/>
                <w:sz w:val="20"/>
                <w:szCs w:val="20"/>
              </w:rPr>
              <w:t>K_UW04</w:t>
            </w:r>
          </w:p>
        </w:tc>
        <w:tc>
          <w:tcPr>
            <w:tcW w:w="1132" w:type="pct"/>
            <w:vAlign w:val="center"/>
          </w:tcPr>
          <w:p w:rsidR="008D57FB" w:rsidRDefault="008D57FB" w:rsidP="00522D41">
            <w:pPr>
              <w:jc w:val="center"/>
            </w:pPr>
            <w:r w:rsidRPr="00FA2454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8D57FB" w:rsidRDefault="0065340E" w:rsidP="003B4C11">
            <w:pPr>
              <w:jc w:val="center"/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D57FB" w:rsidRPr="008D57FB" w:rsidRDefault="008D57FB" w:rsidP="003B4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Sprawdzian pisemny – pytania otwarte</w:t>
            </w:r>
          </w:p>
        </w:tc>
      </w:tr>
      <w:tr w:rsidR="00A23ED2" w:rsidRPr="00655F95" w:rsidTr="00A23ED2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D2" w:rsidRPr="00655F95" w:rsidRDefault="000F342A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U4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23ED2" w:rsidRPr="00655F95" w:rsidRDefault="008D57FB" w:rsidP="003B4C11">
            <w:pPr>
              <w:rPr>
                <w:color w:val="000000"/>
                <w:sz w:val="20"/>
                <w:szCs w:val="20"/>
              </w:rPr>
            </w:pPr>
            <w:r w:rsidRPr="008D57FB">
              <w:rPr>
                <w:color w:val="000000"/>
                <w:sz w:val="20"/>
                <w:szCs w:val="20"/>
              </w:rPr>
              <w:t>Umie działać jako członek, a także kierownik zespołu e-marketingowego.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A23ED2" w:rsidRPr="00655F95" w:rsidRDefault="008D57FB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8D57FB">
              <w:rPr>
                <w:color w:val="000000"/>
                <w:sz w:val="20"/>
                <w:szCs w:val="20"/>
              </w:rPr>
              <w:t>K_UO11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A23ED2" w:rsidRDefault="00A23ED2" w:rsidP="000C5008">
            <w:pPr>
              <w:jc w:val="center"/>
            </w:pPr>
            <w:r w:rsidRPr="00FA2454"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23ED2" w:rsidRDefault="0065340E" w:rsidP="003B4C11">
            <w:pPr>
              <w:jc w:val="center"/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3ED2" w:rsidRPr="008D57FB" w:rsidRDefault="00A23ED2" w:rsidP="003B4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Sprawdzian pisemny – pytania otwarte</w:t>
            </w:r>
          </w:p>
        </w:tc>
      </w:tr>
    </w:tbl>
    <w:p w:rsidR="00411DC5" w:rsidRPr="00655F95" w:rsidRDefault="00411DC5" w:rsidP="003B4C11">
      <w:pPr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655F95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C56C74" w:rsidRDefault="00C86F9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Style w:val="wartosc"/>
                <w:sz w:val="20"/>
                <w:szCs w:val="20"/>
                <w:shd w:val="clear" w:color="auto" w:fill="FFFFFF"/>
              </w:rPr>
            </w:pPr>
            <w:r>
              <w:rPr>
                <w:rStyle w:val="wartosc"/>
                <w:sz w:val="20"/>
                <w:szCs w:val="20"/>
                <w:shd w:val="clear" w:color="auto" w:fill="FFFFFF"/>
              </w:rPr>
              <w:t>Królewski J., Sala P. (red.), E-marketing. Współczesne trendy. Pakiet startowy, PWN 2021;</w:t>
            </w:r>
          </w:p>
          <w:p w:rsidR="00C86F9B" w:rsidRDefault="00C86F9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Style w:val="wartosc"/>
                <w:sz w:val="20"/>
                <w:szCs w:val="20"/>
                <w:shd w:val="clear" w:color="auto" w:fill="FFFFFF"/>
              </w:rPr>
            </w:pPr>
            <w:r>
              <w:rPr>
                <w:rStyle w:val="wartosc"/>
                <w:sz w:val="20"/>
                <w:szCs w:val="20"/>
                <w:shd w:val="clear" w:color="auto" w:fill="FFFFFF"/>
              </w:rPr>
              <w:t>Kozielski R., Przyszłość marketingu. Koncepcje, metody, technologie. Teoria i zastosowanie, PWN 2020;</w:t>
            </w:r>
          </w:p>
          <w:p w:rsidR="00C86F9B" w:rsidRDefault="00C86F9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Style w:val="wartosc"/>
                <w:sz w:val="20"/>
                <w:szCs w:val="20"/>
                <w:shd w:val="clear" w:color="auto" w:fill="FFFFFF"/>
              </w:rPr>
            </w:pPr>
            <w:r>
              <w:rPr>
                <w:rStyle w:val="wartosc"/>
                <w:sz w:val="20"/>
                <w:szCs w:val="20"/>
                <w:shd w:val="clear" w:color="auto" w:fill="FFFFFF"/>
              </w:rPr>
              <w:t>Mazurek G., E-marketing. Planowanie, narzędzia, praktyka</w:t>
            </w:r>
            <w:r w:rsidR="003B4C11">
              <w:rPr>
                <w:rStyle w:val="wartosc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3B4C11">
              <w:rPr>
                <w:rStyle w:val="wartosc"/>
                <w:sz w:val="20"/>
                <w:szCs w:val="20"/>
                <w:shd w:val="clear" w:color="auto" w:fill="FFFFFF"/>
              </w:rPr>
              <w:t>Poltext</w:t>
            </w:r>
            <w:proofErr w:type="spellEnd"/>
            <w:r w:rsidR="003B4C11">
              <w:rPr>
                <w:rStyle w:val="wartosc"/>
                <w:sz w:val="20"/>
                <w:szCs w:val="20"/>
                <w:shd w:val="clear" w:color="auto" w:fill="FFFFFF"/>
              </w:rPr>
              <w:t xml:space="preserve"> 2018.</w:t>
            </w:r>
          </w:p>
          <w:p w:rsidR="003B4C11" w:rsidRDefault="003B4C11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Style w:val="wartosc"/>
                <w:sz w:val="20"/>
                <w:szCs w:val="20"/>
                <w:shd w:val="clear" w:color="auto" w:fill="FFFFFF"/>
              </w:rPr>
            </w:pPr>
          </w:p>
          <w:p w:rsidR="006F460B" w:rsidRPr="00F03C2B" w:rsidRDefault="006F460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t>Literatura</w:t>
            </w:r>
            <w:r w:rsidR="00634628" w:rsidRPr="00F03C2B">
              <w:rPr>
                <w:b/>
                <w:bCs/>
                <w:sz w:val="20"/>
                <w:szCs w:val="20"/>
              </w:rPr>
              <w:t xml:space="preserve"> </w:t>
            </w:r>
            <w:r w:rsidRPr="00F03C2B">
              <w:rPr>
                <w:b/>
                <w:bCs/>
                <w:sz w:val="20"/>
                <w:szCs w:val="20"/>
              </w:rPr>
              <w:t>uzup</w:t>
            </w:r>
            <w:r w:rsidR="0053534F">
              <w:rPr>
                <w:b/>
                <w:bCs/>
                <w:sz w:val="20"/>
                <w:szCs w:val="20"/>
              </w:rPr>
              <w:t>ełniająca</w:t>
            </w:r>
          </w:p>
          <w:p w:rsidR="00F03C2B" w:rsidRDefault="00330D3A" w:rsidP="00655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Gregor B., Kaczorowska-Spychalska D., Marketing w erze technologii cyfrowych, PWN 2018;</w:t>
            </w:r>
          </w:p>
          <w:p w:rsidR="00330D3A" w:rsidRDefault="00330D3A" w:rsidP="00655F95">
            <w:pPr>
              <w:rPr>
                <w:sz w:val="20"/>
                <w:szCs w:val="20"/>
                <w:lang w:val="en-US"/>
              </w:rPr>
            </w:pPr>
            <w:proofErr w:type="spellStart"/>
            <w:r w:rsidRPr="00330D3A">
              <w:rPr>
                <w:sz w:val="20"/>
                <w:szCs w:val="20"/>
                <w:lang w:val="en-US"/>
              </w:rPr>
              <w:t>Stawarz</w:t>
            </w:r>
            <w:proofErr w:type="spellEnd"/>
            <w:r w:rsidRPr="00330D3A">
              <w:rPr>
                <w:sz w:val="20"/>
                <w:szCs w:val="20"/>
                <w:lang w:val="en-US"/>
              </w:rPr>
              <w:t xml:space="preserve"> B., Content marketing </w:t>
            </w:r>
            <w:proofErr w:type="spellStart"/>
            <w:r w:rsidRPr="00330D3A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330D3A">
              <w:rPr>
                <w:sz w:val="20"/>
                <w:szCs w:val="20"/>
                <w:lang w:val="en-US"/>
              </w:rPr>
              <w:t xml:space="preserve"> social media, PWN 2017</w:t>
            </w:r>
            <w:r w:rsidR="003B4C11">
              <w:rPr>
                <w:sz w:val="20"/>
                <w:szCs w:val="20"/>
                <w:lang w:val="en-US"/>
              </w:rPr>
              <w:t>.</w:t>
            </w:r>
          </w:p>
          <w:p w:rsidR="003B4C11" w:rsidRPr="00330D3A" w:rsidRDefault="003B4C11" w:rsidP="00655F95">
            <w:pPr>
              <w:rPr>
                <w:sz w:val="20"/>
                <w:szCs w:val="20"/>
                <w:lang w:val="en-US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34628" w:rsidRPr="00F03C2B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037970" w:rsidP="00F03C2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Komputery, </w:t>
            </w:r>
            <w:proofErr w:type="spellStart"/>
            <w:r>
              <w:rPr>
                <w:sz w:val="20"/>
                <w:szCs w:val="20"/>
              </w:rPr>
              <w:t>smartfony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330D3A">
              <w:rPr>
                <w:sz w:val="20"/>
                <w:szCs w:val="20"/>
              </w:rPr>
              <w:t>rzutnik multimedialny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3B4C1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3B4C1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3B4C1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9E6D6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9E6D6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B4C1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9E6D6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9E6D6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3B4C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3B4C1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3B4C1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9E6D6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9E6D67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B4C1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B4C1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3A073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25109"/>
    <w:rsid w:val="000352CA"/>
    <w:rsid w:val="00037970"/>
    <w:rsid w:val="00074315"/>
    <w:rsid w:val="0008168E"/>
    <w:rsid w:val="000870B5"/>
    <w:rsid w:val="000B5C55"/>
    <w:rsid w:val="000B7A89"/>
    <w:rsid w:val="000C5008"/>
    <w:rsid w:val="000E4868"/>
    <w:rsid w:val="000F342A"/>
    <w:rsid w:val="000F5188"/>
    <w:rsid w:val="0010370D"/>
    <w:rsid w:val="00104762"/>
    <w:rsid w:val="00106BFD"/>
    <w:rsid w:val="00115549"/>
    <w:rsid w:val="00141D04"/>
    <w:rsid w:val="00162347"/>
    <w:rsid w:val="001624AE"/>
    <w:rsid w:val="0017080E"/>
    <w:rsid w:val="001C42F8"/>
    <w:rsid w:val="001D7CE1"/>
    <w:rsid w:val="001E6057"/>
    <w:rsid w:val="001F5388"/>
    <w:rsid w:val="00211EDF"/>
    <w:rsid w:val="0029173D"/>
    <w:rsid w:val="002D67F1"/>
    <w:rsid w:val="002F61A6"/>
    <w:rsid w:val="00313BE2"/>
    <w:rsid w:val="00330D3A"/>
    <w:rsid w:val="003738EB"/>
    <w:rsid w:val="003A0735"/>
    <w:rsid w:val="003A33CA"/>
    <w:rsid w:val="003A6564"/>
    <w:rsid w:val="003A799C"/>
    <w:rsid w:val="003B4C11"/>
    <w:rsid w:val="003D6A47"/>
    <w:rsid w:val="003F7C28"/>
    <w:rsid w:val="00411AA2"/>
    <w:rsid w:val="00411DC5"/>
    <w:rsid w:val="004300D4"/>
    <w:rsid w:val="004666A1"/>
    <w:rsid w:val="00485BBF"/>
    <w:rsid w:val="0049173F"/>
    <w:rsid w:val="00492B5E"/>
    <w:rsid w:val="004B01D4"/>
    <w:rsid w:val="004D1465"/>
    <w:rsid w:val="004D3051"/>
    <w:rsid w:val="004F664B"/>
    <w:rsid w:val="00513FA6"/>
    <w:rsid w:val="00524904"/>
    <w:rsid w:val="0053534F"/>
    <w:rsid w:val="00544C19"/>
    <w:rsid w:val="00552681"/>
    <w:rsid w:val="005643A7"/>
    <w:rsid w:val="005712B8"/>
    <w:rsid w:val="00572C19"/>
    <w:rsid w:val="005A05CA"/>
    <w:rsid w:val="005A43A9"/>
    <w:rsid w:val="005E67E0"/>
    <w:rsid w:val="005F1BA6"/>
    <w:rsid w:val="00634628"/>
    <w:rsid w:val="00641A90"/>
    <w:rsid w:val="0065340E"/>
    <w:rsid w:val="00655F95"/>
    <w:rsid w:val="00663D72"/>
    <w:rsid w:val="006B588E"/>
    <w:rsid w:val="006C345D"/>
    <w:rsid w:val="006C5AAF"/>
    <w:rsid w:val="006D015E"/>
    <w:rsid w:val="006D0528"/>
    <w:rsid w:val="006D60C1"/>
    <w:rsid w:val="006D61D7"/>
    <w:rsid w:val="006F460B"/>
    <w:rsid w:val="007060A5"/>
    <w:rsid w:val="0071323F"/>
    <w:rsid w:val="00723672"/>
    <w:rsid w:val="007445D1"/>
    <w:rsid w:val="00770B09"/>
    <w:rsid w:val="0077243D"/>
    <w:rsid w:val="00792A86"/>
    <w:rsid w:val="007A6BED"/>
    <w:rsid w:val="007B0B76"/>
    <w:rsid w:val="007D32B2"/>
    <w:rsid w:val="007E7E64"/>
    <w:rsid w:val="007F413A"/>
    <w:rsid w:val="00816222"/>
    <w:rsid w:val="008212F6"/>
    <w:rsid w:val="008226CB"/>
    <w:rsid w:val="00837BEE"/>
    <w:rsid w:val="00865036"/>
    <w:rsid w:val="008664CE"/>
    <w:rsid w:val="00885501"/>
    <w:rsid w:val="008A7C17"/>
    <w:rsid w:val="008B4F70"/>
    <w:rsid w:val="008D0BB0"/>
    <w:rsid w:val="008D57FB"/>
    <w:rsid w:val="008E3F46"/>
    <w:rsid w:val="008F0433"/>
    <w:rsid w:val="0094449C"/>
    <w:rsid w:val="009E579B"/>
    <w:rsid w:val="009E6D67"/>
    <w:rsid w:val="009F25C1"/>
    <w:rsid w:val="009F4553"/>
    <w:rsid w:val="00A15FEB"/>
    <w:rsid w:val="00A20EA2"/>
    <w:rsid w:val="00A23ED2"/>
    <w:rsid w:val="00A37AEB"/>
    <w:rsid w:val="00A427B5"/>
    <w:rsid w:val="00A43314"/>
    <w:rsid w:val="00A57187"/>
    <w:rsid w:val="00A851D5"/>
    <w:rsid w:val="00AA4303"/>
    <w:rsid w:val="00AB7F0D"/>
    <w:rsid w:val="00AF3A5B"/>
    <w:rsid w:val="00B01D75"/>
    <w:rsid w:val="00B3160B"/>
    <w:rsid w:val="00B31670"/>
    <w:rsid w:val="00B329EC"/>
    <w:rsid w:val="00B32FE5"/>
    <w:rsid w:val="00B416CD"/>
    <w:rsid w:val="00B44F24"/>
    <w:rsid w:val="00B741D3"/>
    <w:rsid w:val="00B8704F"/>
    <w:rsid w:val="00B95C41"/>
    <w:rsid w:val="00BC5C03"/>
    <w:rsid w:val="00BF52E6"/>
    <w:rsid w:val="00C0001C"/>
    <w:rsid w:val="00C0360B"/>
    <w:rsid w:val="00C416ED"/>
    <w:rsid w:val="00C56C74"/>
    <w:rsid w:val="00C67AB5"/>
    <w:rsid w:val="00C85B6C"/>
    <w:rsid w:val="00C86F9B"/>
    <w:rsid w:val="00C92681"/>
    <w:rsid w:val="00CA46A6"/>
    <w:rsid w:val="00CA6C84"/>
    <w:rsid w:val="00CB7A77"/>
    <w:rsid w:val="00CD26FE"/>
    <w:rsid w:val="00CF0CF0"/>
    <w:rsid w:val="00D00D7A"/>
    <w:rsid w:val="00D03A8A"/>
    <w:rsid w:val="00D301FC"/>
    <w:rsid w:val="00D317DA"/>
    <w:rsid w:val="00D43F6D"/>
    <w:rsid w:val="00D570C1"/>
    <w:rsid w:val="00D667A4"/>
    <w:rsid w:val="00D6774D"/>
    <w:rsid w:val="00D70E65"/>
    <w:rsid w:val="00D732A3"/>
    <w:rsid w:val="00DA43D4"/>
    <w:rsid w:val="00DA5DE7"/>
    <w:rsid w:val="00DC502E"/>
    <w:rsid w:val="00E03B36"/>
    <w:rsid w:val="00E11A10"/>
    <w:rsid w:val="00E35250"/>
    <w:rsid w:val="00E551FF"/>
    <w:rsid w:val="00E73E72"/>
    <w:rsid w:val="00E91EF2"/>
    <w:rsid w:val="00ED7A17"/>
    <w:rsid w:val="00EF4957"/>
    <w:rsid w:val="00F006B2"/>
    <w:rsid w:val="00F03C2B"/>
    <w:rsid w:val="00F4163B"/>
    <w:rsid w:val="00F41C81"/>
    <w:rsid w:val="00F61D7A"/>
    <w:rsid w:val="00F73055"/>
    <w:rsid w:val="00F7320B"/>
    <w:rsid w:val="00F805D7"/>
    <w:rsid w:val="00F81FDD"/>
    <w:rsid w:val="00F83ABE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text">
    <w:name w:val="text"/>
    <w:basedOn w:val="Domylnaczcionkaakapitu"/>
    <w:rsid w:val="008A7C17"/>
  </w:style>
  <w:style w:type="character" w:customStyle="1" w:styleId="wartosc">
    <w:name w:val="wartosc"/>
    <w:basedOn w:val="Domylnaczcionkaakapitu"/>
    <w:rsid w:val="008A7C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text">
    <w:name w:val="text"/>
    <w:basedOn w:val="Domylnaczcionkaakapitu"/>
    <w:rsid w:val="008A7C17"/>
  </w:style>
  <w:style w:type="character" w:customStyle="1" w:styleId="wartosc">
    <w:name w:val="wartosc"/>
    <w:basedOn w:val="Domylnaczcionkaakapitu"/>
    <w:rsid w:val="008A7C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0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.macierzynski@uthrad.pl" TargetMode="External"/><Relationship Id="rId5" Type="http://schemas.openxmlformats.org/officeDocument/2006/relationships/hyperlink" Target="http://www.wfp.uniwersytetradom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23</cp:revision>
  <dcterms:created xsi:type="dcterms:W3CDTF">2021-01-03T12:09:00Z</dcterms:created>
  <dcterms:modified xsi:type="dcterms:W3CDTF">2021-09-14T10:01:00Z</dcterms:modified>
</cp:coreProperties>
</file>