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655F95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2E38EB" w:rsidRPr="00655F95" w:rsidRDefault="002E38EB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655F95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D0545E" w:rsidRDefault="00D0545E" w:rsidP="00655F95">
            <w:pPr>
              <w:jc w:val="center"/>
              <w:rPr>
                <w:sz w:val="20"/>
                <w:szCs w:val="20"/>
              </w:rPr>
            </w:pPr>
            <w:r w:rsidRPr="00D0545E">
              <w:rPr>
                <w:sz w:val="20"/>
                <w:szCs w:val="20"/>
              </w:rPr>
              <w:t xml:space="preserve">Systemy zarządzania treścią </w:t>
            </w:r>
            <w:r w:rsidR="002D3700">
              <w:rPr>
                <w:sz w:val="20"/>
                <w:szCs w:val="20"/>
              </w:rPr>
              <w:t>(</w:t>
            </w:r>
            <w:r w:rsidRPr="00D0545E">
              <w:rPr>
                <w:sz w:val="20"/>
                <w:szCs w:val="20"/>
              </w:rPr>
              <w:t>CMS</w:t>
            </w:r>
            <w:r w:rsidR="002D3700">
              <w:rPr>
                <w:sz w:val="20"/>
                <w:szCs w:val="20"/>
              </w:rPr>
              <w:t>)</w:t>
            </w:r>
          </w:p>
        </w:tc>
      </w:tr>
      <w:tr w:rsidR="00104762" w:rsidRPr="000B03E6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2D3700" w:rsidRDefault="002D3700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2D3700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545E" w:rsidRPr="00D0545E" w:rsidRDefault="002D3700" w:rsidP="00D0545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15" w:lineRule="atLeast"/>
              <w:jc w:val="center"/>
              <w:rPr>
                <w:color w:val="202124"/>
                <w:sz w:val="20"/>
                <w:szCs w:val="20"/>
              </w:rPr>
            </w:pPr>
            <w:proofErr w:type="spellStart"/>
            <w:r>
              <w:rPr>
                <w:color w:val="202124"/>
                <w:sz w:val="20"/>
                <w:szCs w:val="20"/>
              </w:rPr>
              <w:t>Content</w:t>
            </w:r>
            <w:proofErr w:type="spellEnd"/>
            <w:r>
              <w:rPr>
                <w:color w:val="202124"/>
                <w:sz w:val="20"/>
                <w:szCs w:val="20"/>
              </w:rPr>
              <w:t xml:space="preserve"> Management S</w:t>
            </w:r>
            <w:r w:rsidR="00D0545E" w:rsidRPr="00D0545E">
              <w:rPr>
                <w:color w:val="202124"/>
                <w:sz w:val="20"/>
                <w:szCs w:val="20"/>
              </w:rPr>
              <w:t>ystems</w:t>
            </w:r>
            <w:r w:rsidRPr="00D0545E">
              <w:rPr>
                <w:color w:val="202124"/>
                <w:sz w:val="20"/>
                <w:szCs w:val="20"/>
              </w:rPr>
              <w:t xml:space="preserve"> </w:t>
            </w:r>
            <w:r>
              <w:rPr>
                <w:color w:val="202124"/>
                <w:sz w:val="20"/>
                <w:szCs w:val="20"/>
              </w:rPr>
              <w:t>(</w:t>
            </w:r>
            <w:r w:rsidRPr="00D0545E">
              <w:rPr>
                <w:color w:val="202124"/>
                <w:sz w:val="20"/>
                <w:szCs w:val="20"/>
              </w:rPr>
              <w:t>CMS</w:t>
            </w:r>
            <w:r>
              <w:rPr>
                <w:color w:val="202124"/>
                <w:sz w:val="20"/>
                <w:szCs w:val="20"/>
              </w:rPr>
              <w:t>)</w:t>
            </w:r>
          </w:p>
          <w:p w:rsidR="00104762" w:rsidRPr="00D0545E" w:rsidRDefault="00104762" w:rsidP="00655F9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0B03E6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0B03E6" w:rsidP="000B0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655F95" w:rsidRPr="00655F95">
              <w:rPr>
                <w:sz w:val="20"/>
                <w:szCs w:val="20"/>
              </w:rPr>
              <w:t xml:space="preserve">. </w:t>
            </w:r>
            <w:r w:rsidR="00F81FDD" w:rsidRPr="00655F95">
              <w:rPr>
                <w:sz w:val="20"/>
                <w:szCs w:val="20"/>
              </w:rPr>
              <w:t>Grupa zajęć</w:t>
            </w:r>
            <w:r w:rsidR="00655F95" w:rsidRPr="00655F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kierunkowych</w:t>
            </w:r>
            <w:r w:rsidR="00F826B2">
              <w:rPr>
                <w:sz w:val="20"/>
                <w:szCs w:val="20"/>
              </w:rPr>
              <w:t xml:space="preserve"> – do wyboru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27448A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</w:t>
            </w:r>
            <w:r w:rsidR="00F826B2">
              <w:rPr>
                <w:sz w:val="20"/>
                <w:szCs w:val="20"/>
              </w:rPr>
              <w:t>ny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2E38E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0B03E6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0B03E6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2E38E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0B03E6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</w:t>
            </w:r>
            <w:r w:rsidR="002E38EB"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0B03E6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C655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3456B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C655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CA46A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69FE" w:rsidRDefault="008E3F46" w:rsidP="00F03C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>Wydział</w:t>
            </w:r>
            <w:r w:rsidR="000B03E6">
              <w:rPr>
                <w:sz w:val="20"/>
                <w:szCs w:val="20"/>
              </w:rPr>
              <w:t xml:space="preserve"> Transportu Elektrotechniki i Informatyki </w:t>
            </w:r>
            <w:r w:rsidR="004F1169">
              <w:rPr>
                <w:sz w:val="20"/>
                <w:szCs w:val="20"/>
              </w:rPr>
              <w:t>/</w:t>
            </w:r>
          </w:p>
          <w:p w:rsidR="008E3F46" w:rsidRPr="00655F95" w:rsidRDefault="00F03C2B" w:rsidP="00F03C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Katedra</w:t>
            </w:r>
            <w:r w:rsidR="000B03E6">
              <w:rPr>
                <w:sz w:val="20"/>
                <w:szCs w:val="20"/>
              </w:rPr>
              <w:t xml:space="preserve"> Elektroniki i </w:t>
            </w:r>
            <w:proofErr w:type="spellStart"/>
            <w:r w:rsidR="000B03E6">
              <w:rPr>
                <w:sz w:val="20"/>
                <w:szCs w:val="20"/>
              </w:rPr>
              <w:t>Telematyki</w:t>
            </w:r>
            <w:proofErr w:type="spellEnd"/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0B7B9B" w:rsidP="002E38E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D0545E">
              <w:rPr>
                <w:sz w:val="20"/>
                <w:szCs w:val="20"/>
              </w:rPr>
              <w:t>gr Łukasz Kopania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655F95" w:rsidRDefault="000B03E6" w:rsidP="00655F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www.wteii</w:t>
            </w:r>
            <w:r w:rsidR="00C92681" w:rsidRPr="00655F95">
              <w:rPr>
                <w:color w:val="000000"/>
                <w:sz w:val="20"/>
                <w:szCs w:val="20"/>
              </w:rPr>
              <w:t>.uniwersytetradom.pl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9B252E" w:rsidRDefault="00303278" w:rsidP="002D37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5" w:history="1">
              <w:r w:rsidR="00D0545E" w:rsidRPr="009B252E">
                <w:rPr>
                  <w:rStyle w:val="Hipercze"/>
                  <w:color w:val="auto"/>
                  <w:sz w:val="20"/>
                  <w:szCs w:val="20"/>
                  <w:u w:val="none"/>
                </w:rPr>
                <w:t>l.kopania@uthrad.pl</w:t>
              </w:r>
            </w:hyperlink>
            <w:r w:rsidR="00D0545E" w:rsidRPr="009B252E">
              <w:rPr>
                <w:sz w:val="20"/>
                <w:szCs w:val="20"/>
              </w:rPr>
              <w:t>, 361 78 27</w:t>
            </w:r>
          </w:p>
        </w:tc>
      </w:tr>
    </w:tbl>
    <w:p w:rsidR="0015368E" w:rsidRDefault="0015368E" w:rsidP="00655F95">
      <w:pPr>
        <w:rPr>
          <w:rFonts w:eastAsia="Calibri"/>
          <w:b/>
          <w:bCs/>
          <w:sz w:val="20"/>
          <w:szCs w:val="20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15368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655F95" w:rsidRDefault="000B03E6" w:rsidP="00D0545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Celem kształcenia jest zapoznanie student</w:t>
            </w:r>
            <w:r w:rsidR="008C665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ów z systemami </w:t>
            </w:r>
            <w:r w:rsidR="00D0545E">
              <w:rPr>
                <w:rFonts w:eastAsia="Calibri"/>
                <w:color w:val="000000"/>
                <w:sz w:val="20"/>
                <w:szCs w:val="20"/>
                <w:lang w:eastAsia="en-US"/>
              </w:rPr>
              <w:t>zarządzania treścią CMS</w:t>
            </w:r>
            <w:r w:rsidR="009B252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, jako narzędziem pracy </w:t>
            </w:r>
            <w:r w:rsidR="00884363">
              <w:rPr>
                <w:rFonts w:eastAsia="Calibri"/>
                <w:color w:val="000000"/>
                <w:sz w:val="20"/>
                <w:szCs w:val="20"/>
                <w:lang w:eastAsia="en-US"/>
              </w:rPr>
              <w:t>dziennikarskiej.</w:t>
            </w:r>
          </w:p>
        </w:tc>
      </w:tr>
      <w:tr w:rsidR="00655F95" w:rsidRPr="00655F95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15368E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Default="00884363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Treść zajęć warsztatowych:</w:t>
            </w:r>
          </w:p>
          <w:p w:rsidR="00903A4A" w:rsidRDefault="00400E82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03A4A">
              <w:rPr>
                <w:sz w:val="20"/>
                <w:szCs w:val="20"/>
              </w:rPr>
              <w:t xml:space="preserve">technologie i narzędzia realizacji </w:t>
            </w:r>
            <w:r w:rsidR="00D0545E">
              <w:rPr>
                <w:sz w:val="20"/>
                <w:szCs w:val="20"/>
              </w:rPr>
              <w:t>systemów CMS</w:t>
            </w:r>
            <w:r w:rsidR="00903A4A">
              <w:rPr>
                <w:sz w:val="20"/>
                <w:szCs w:val="20"/>
              </w:rPr>
              <w:t>,</w:t>
            </w:r>
          </w:p>
          <w:p w:rsidR="00D0545E" w:rsidRDefault="00D0545E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instalacja i obsługa serwera do systemów CMS</w:t>
            </w:r>
          </w:p>
          <w:p w:rsidR="00D0545E" w:rsidRDefault="00D0545E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konfiguracja systemu CMS</w:t>
            </w:r>
          </w:p>
          <w:p w:rsidR="00884363" w:rsidRDefault="00DA7D28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praca z systemami </w:t>
            </w:r>
            <w:r w:rsidR="00D0545E">
              <w:rPr>
                <w:sz w:val="20"/>
                <w:szCs w:val="20"/>
              </w:rPr>
              <w:t>zarządzania treścią</w:t>
            </w:r>
            <w:r>
              <w:rPr>
                <w:sz w:val="20"/>
                <w:szCs w:val="20"/>
              </w:rPr>
              <w:t xml:space="preserve">– </w:t>
            </w:r>
            <w:r w:rsidR="00D0545E">
              <w:rPr>
                <w:sz w:val="20"/>
                <w:szCs w:val="20"/>
              </w:rPr>
              <w:t xml:space="preserve"> obsługa panelu </w:t>
            </w:r>
            <w:r w:rsidR="00D0545E">
              <w:rPr>
                <w:sz w:val="20"/>
                <w:szCs w:val="20"/>
              </w:rPr>
              <w:lastRenderedPageBreak/>
              <w:t xml:space="preserve">administracyjnego, dodatkowe moduły, </w:t>
            </w:r>
          </w:p>
          <w:p w:rsidR="00400E82" w:rsidRDefault="00D0545E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przygotowanie </w:t>
            </w:r>
            <w:proofErr w:type="spellStart"/>
            <w:r>
              <w:rPr>
                <w:sz w:val="20"/>
                <w:szCs w:val="20"/>
              </w:rPr>
              <w:t>layoutu</w:t>
            </w:r>
            <w:proofErr w:type="spellEnd"/>
            <w:r>
              <w:rPr>
                <w:sz w:val="20"/>
                <w:szCs w:val="20"/>
              </w:rPr>
              <w:t xml:space="preserve"> na potrzeby strony WWW opartej na systemie zarządzania treścią CMS:</w:t>
            </w:r>
          </w:p>
          <w:p w:rsidR="00400E82" w:rsidRPr="00F03C2B" w:rsidRDefault="00D0545E" w:rsidP="00D054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obróbka grafiki, animacje</w:t>
            </w: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15368E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884363" w:rsidRDefault="00884363" w:rsidP="00D0545E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Zajęcia warsztatowe z wykorzystaniem </w:t>
            </w:r>
            <w:r w:rsidR="002D3700">
              <w:rPr>
                <w:sz w:val="20"/>
                <w:szCs w:val="20"/>
                <w:lang w:eastAsia="en-US"/>
              </w:rPr>
              <w:t>sprzętu kompute</w:t>
            </w:r>
            <w:r w:rsidR="00D0545E">
              <w:rPr>
                <w:sz w:val="20"/>
                <w:szCs w:val="20"/>
                <w:lang w:eastAsia="en-US"/>
              </w:rPr>
              <w:t>rowego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411DC5" w:rsidRPr="00655F95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15368E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8C665D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655F95">
              <w:rPr>
                <w:sz w:val="20"/>
                <w:szCs w:val="20"/>
              </w:rPr>
              <w:t>uczenia się</w:t>
            </w:r>
            <w:r w:rsidR="008C665D">
              <w:rPr>
                <w:sz w:val="20"/>
                <w:szCs w:val="20"/>
              </w:rPr>
              <w:t>. Uzyskanie pozytywnej</w:t>
            </w:r>
            <w:r w:rsidR="008C665D" w:rsidRPr="00542331">
              <w:rPr>
                <w:sz w:val="20"/>
                <w:szCs w:val="20"/>
              </w:rPr>
              <w:t xml:space="preserve"> ocen jest </w:t>
            </w:r>
            <w:r w:rsidR="008C665D">
              <w:rPr>
                <w:sz w:val="20"/>
                <w:szCs w:val="20"/>
              </w:rPr>
              <w:t xml:space="preserve">równoznaczne ze </w:t>
            </w:r>
            <w:r w:rsidR="008C665D"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 w:rsidR="008C665D">
              <w:rPr>
                <w:sz w:val="20"/>
                <w:szCs w:val="20"/>
              </w:rPr>
              <w:t xml:space="preserve">. </w:t>
            </w:r>
            <w:r w:rsidR="008C665D" w:rsidRPr="00542331">
              <w:rPr>
                <w:sz w:val="20"/>
                <w:szCs w:val="20"/>
              </w:rPr>
              <w:t>Sposób obliczania oceny przedstawia się następująco</w:t>
            </w:r>
            <w:r w:rsidR="008C665D">
              <w:rPr>
                <w:sz w:val="20"/>
                <w:szCs w:val="20"/>
              </w:rPr>
              <w:t>:</w:t>
            </w:r>
          </w:p>
          <w:p w:rsidR="009B252E" w:rsidRDefault="009B252E" w:rsidP="008C66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ocena pracy zaliczeniowej (projektu) – 50% oceny końcowej</w:t>
            </w:r>
          </w:p>
          <w:p w:rsidR="008C665D" w:rsidRDefault="008C665D" w:rsidP="008C66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14239">
              <w:rPr>
                <w:sz w:val="20"/>
                <w:szCs w:val="20"/>
              </w:rPr>
              <w:t>ocena ze sprawdzi</w:t>
            </w:r>
            <w:r w:rsidR="002209ED">
              <w:rPr>
                <w:sz w:val="20"/>
                <w:szCs w:val="20"/>
              </w:rPr>
              <w:t>anu pisemnego</w:t>
            </w:r>
            <w:r w:rsidR="009B252E">
              <w:rPr>
                <w:sz w:val="20"/>
                <w:szCs w:val="20"/>
              </w:rPr>
              <w:t xml:space="preserve"> (kolokwium) </w:t>
            </w:r>
            <w:r w:rsidR="009B252E">
              <w:rPr>
                <w:sz w:val="20"/>
                <w:szCs w:val="20"/>
              </w:rPr>
              <w:softHyphen/>
              <w:t>– 50% oceny końcowej</w:t>
            </w:r>
          </w:p>
          <w:p w:rsidR="009B252E" w:rsidRDefault="008C665D" w:rsidP="008C66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</w:t>
            </w:r>
            <w:r w:rsidRPr="00E14239">
              <w:rPr>
                <w:sz w:val="20"/>
                <w:szCs w:val="20"/>
              </w:rPr>
              <w:t xml:space="preserve">ena obliczana według skali punktowej: </w:t>
            </w:r>
          </w:p>
          <w:p w:rsidR="009B252E" w:rsidRDefault="008C665D" w:rsidP="008C665D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>od 60% - 3 (</w:t>
            </w:r>
            <w:proofErr w:type="spellStart"/>
            <w:r w:rsidRPr="00E14239">
              <w:rPr>
                <w:sz w:val="20"/>
                <w:szCs w:val="20"/>
              </w:rPr>
              <w:t>dst</w:t>
            </w:r>
            <w:proofErr w:type="spellEnd"/>
            <w:r w:rsidRPr="00E14239">
              <w:rPr>
                <w:sz w:val="20"/>
                <w:szCs w:val="20"/>
              </w:rPr>
              <w:t xml:space="preserve">), </w:t>
            </w:r>
          </w:p>
          <w:p w:rsidR="009B252E" w:rsidRDefault="008C665D" w:rsidP="008C665D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 xml:space="preserve">od 75% - </w:t>
            </w:r>
            <w:r w:rsidR="00E74CEF">
              <w:rPr>
                <w:sz w:val="20"/>
                <w:szCs w:val="20"/>
              </w:rPr>
              <w:t>4 (</w:t>
            </w:r>
            <w:proofErr w:type="spellStart"/>
            <w:r w:rsidR="00E74CEF">
              <w:rPr>
                <w:sz w:val="20"/>
                <w:szCs w:val="20"/>
              </w:rPr>
              <w:t>db</w:t>
            </w:r>
            <w:proofErr w:type="spellEnd"/>
            <w:r w:rsidR="00E74CEF">
              <w:rPr>
                <w:sz w:val="20"/>
                <w:szCs w:val="20"/>
              </w:rPr>
              <w:t>),</w:t>
            </w:r>
          </w:p>
          <w:p w:rsidR="00F03C2B" w:rsidRPr="00655F95" w:rsidRDefault="008C665D" w:rsidP="008C665D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>od 90% - 5 (</w:t>
            </w:r>
            <w:proofErr w:type="spellStart"/>
            <w:r w:rsidRPr="00E14239">
              <w:rPr>
                <w:sz w:val="20"/>
                <w:szCs w:val="20"/>
              </w:rPr>
              <w:t>bdb</w:t>
            </w:r>
            <w:proofErr w:type="spellEnd"/>
            <w:r w:rsidRPr="00E14239">
              <w:rPr>
                <w:sz w:val="20"/>
                <w:szCs w:val="20"/>
              </w:rPr>
              <w:t>).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9"/>
        <w:gridCol w:w="3872"/>
        <w:gridCol w:w="1243"/>
        <w:gridCol w:w="2218"/>
        <w:gridCol w:w="1152"/>
        <w:gridCol w:w="1239"/>
      </w:tblGrid>
      <w:tr w:rsidR="00411DC5" w:rsidRPr="00655F95" w:rsidTr="000B7AC9">
        <w:trPr>
          <w:jc w:val="center"/>
        </w:trPr>
        <w:tc>
          <w:tcPr>
            <w:tcW w:w="3869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31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0B7AC9">
        <w:trPr>
          <w:jc w:val="center"/>
        </w:trPr>
        <w:tc>
          <w:tcPr>
            <w:tcW w:w="4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4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86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0B7AC9">
        <w:trPr>
          <w:jc w:val="center"/>
        </w:trPr>
        <w:tc>
          <w:tcPr>
            <w:tcW w:w="40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831" w:type="pct"/>
            <w:tcMar>
              <w:left w:w="28" w:type="dxa"/>
              <w:right w:w="28" w:type="dxa"/>
            </w:tcMar>
          </w:tcPr>
          <w:p w:rsidR="00F03C2B" w:rsidRPr="00655F95" w:rsidRDefault="00471F39" w:rsidP="009B25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 wiedzę dotyczącą współczesnych technik </w:t>
            </w:r>
            <w:r>
              <w:rPr>
                <w:color w:val="000000"/>
                <w:sz w:val="20"/>
                <w:szCs w:val="20"/>
              </w:rPr>
              <w:br/>
              <w:t xml:space="preserve">i technologii związanych z </w:t>
            </w:r>
            <w:r w:rsidR="000B7AC9">
              <w:rPr>
                <w:color w:val="000000"/>
                <w:sz w:val="20"/>
                <w:szCs w:val="20"/>
              </w:rPr>
              <w:t>systemami zarządzającymi treścią w Internecie</w:t>
            </w:r>
          </w:p>
        </w:tc>
        <w:tc>
          <w:tcPr>
            <w:tcW w:w="588" w:type="pct"/>
            <w:vAlign w:val="center"/>
          </w:tcPr>
          <w:p w:rsidR="009B252E" w:rsidRPr="009B252E" w:rsidRDefault="009B252E" w:rsidP="00F03C2B">
            <w:pPr>
              <w:jc w:val="center"/>
              <w:rPr>
                <w:color w:val="000000"/>
                <w:sz w:val="20"/>
                <w:szCs w:val="16"/>
              </w:rPr>
            </w:pPr>
            <w:r w:rsidRPr="009B252E">
              <w:rPr>
                <w:color w:val="000000"/>
                <w:sz w:val="20"/>
                <w:szCs w:val="16"/>
              </w:rPr>
              <w:t>K_WG01</w:t>
            </w:r>
          </w:p>
          <w:p w:rsidR="00F03C2B" w:rsidRPr="009B252E" w:rsidRDefault="00471F39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9B252E">
              <w:rPr>
                <w:color w:val="000000"/>
                <w:sz w:val="20"/>
                <w:szCs w:val="16"/>
              </w:rPr>
              <w:t>K_WG02</w:t>
            </w:r>
          </w:p>
        </w:tc>
        <w:tc>
          <w:tcPr>
            <w:tcW w:w="1049" w:type="pct"/>
            <w:vAlign w:val="center"/>
          </w:tcPr>
          <w:p w:rsidR="00F03C2B" w:rsidRPr="00F204CE" w:rsidRDefault="00F03C2B" w:rsidP="000B0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45" w:type="pct"/>
            <w:shd w:val="clear" w:color="auto" w:fill="auto"/>
          </w:tcPr>
          <w:p w:rsidR="00F03C2B" w:rsidRPr="00F204CE" w:rsidRDefault="000B03E6" w:rsidP="00F03C2B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aliczenie na ocen</w:t>
            </w:r>
            <w:r w:rsidRPr="00F204CE">
              <w:rPr>
                <w:sz w:val="20"/>
                <w:szCs w:val="20"/>
              </w:rPr>
              <w:t>ę</w:t>
            </w:r>
          </w:p>
        </w:tc>
        <w:tc>
          <w:tcPr>
            <w:tcW w:w="58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252E" w:rsidRDefault="009B252E" w:rsidP="00DA7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</w:p>
          <w:p w:rsidR="00F03C2B" w:rsidRDefault="002209ED" w:rsidP="00DA7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</w:t>
            </w:r>
          </w:p>
          <w:p w:rsidR="009B252E" w:rsidRPr="00655F95" w:rsidRDefault="009B252E" w:rsidP="00DA7D28">
            <w:pPr>
              <w:jc w:val="center"/>
              <w:rPr>
                <w:sz w:val="20"/>
                <w:szCs w:val="20"/>
              </w:rPr>
            </w:pPr>
          </w:p>
        </w:tc>
      </w:tr>
      <w:tr w:rsidR="009B252E" w:rsidRPr="00655F95" w:rsidTr="000B7AC9">
        <w:trPr>
          <w:jc w:val="center"/>
        </w:trPr>
        <w:tc>
          <w:tcPr>
            <w:tcW w:w="401" w:type="pct"/>
            <w:vAlign w:val="center"/>
          </w:tcPr>
          <w:p w:rsidR="009B252E" w:rsidRPr="00655F95" w:rsidRDefault="009B252E" w:rsidP="007726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831" w:type="pct"/>
            <w:tcMar>
              <w:left w:w="28" w:type="dxa"/>
              <w:right w:w="28" w:type="dxa"/>
            </w:tcMar>
          </w:tcPr>
          <w:p w:rsidR="009B252E" w:rsidRPr="009B252E" w:rsidRDefault="009B252E" w:rsidP="009B25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przygotować </w:t>
            </w:r>
            <w:proofErr w:type="spellStart"/>
            <w:r>
              <w:rPr>
                <w:sz w:val="20"/>
                <w:szCs w:val="20"/>
              </w:rPr>
              <w:t>layout</w:t>
            </w:r>
            <w:proofErr w:type="spellEnd"/>
            <w:r>
              <w:rPr>
                <w:sz w:val="20"/>
                <w:szCs w:val="20"/>
              </w:rPr>
              <w:t xml:space="preserve"> na potrzeby strony WWW opartej na systemie zarządzania treścią CMS; p</w:t>
            </w:r>
            <w:r>
              <w:rPr>
                <w:color w:val="000000"/>
                <w:sz w:val="20"/>
                <w:szCs w:val="20"/>
              </w:rPr>
              <w:t xml:space="preserve">otrafi posługiwać się urządzeniami multimedialnymi oraz wykorzystywać je </w:t>
            </w:r>
          </w:p>
          <w:p w:rsidR="009B252E" w:rsidRPr="00655F95" w:rsidRDefault="009B252E" w:rsidP="009B25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 tworzenia przekazu.</w:t>
            </w:r>
          </w:p>
        </w:tc>
        <w:tc>
          <w:tcPr>
            <w:tcW w:w="588" w:type="pct"/>
            <w:vAlign w:val="center"/>
          </w:tcPr>
          <w:p w:rsidR="009B252E" w:rsidRPr="009B252E" w:rsidRDefault="009B252E" w:rsidP="00772679">
            <w:pPr>
              <w:jc w:val="center"/>
              <w:rPr>
                <w:bCs/>
                <w:sz w:val="20"/>
                <w:szCs w:val="16"/>
              </w:rPr>
            </w:pPr>
            <w:r w:rsidRPr="009B252E">
              <w:rPr>
                <w:bCs/>
                <w:sz w:val="20"/>
                <w:szCs w:val="16"/>
              </w:rPr>
              <w:t>K_UW03</w:t>
            </w:r>
          </w:p>
          <w:p w:rsidR="009B252E" w:rsidRPr="009B252E" w:rsidRDefault="009B252E" w:rsidP="00772679">
            <w:pPr>
              <w:jc w:val="center"/>
              <w:rPr>
                <w:color w:val="000000"/>
                <w:sz w:val="20"/>
                <w:szCs w:val="20"/>
              </w:rPr>
            </w:pPr>
            <w:r w:rsidRPr="009B252E">
              <w:rPr>
                <w:bCs/>
                <w:sz w:val="20"/>
                <w:szCs w:val="16"/>
              </w:rPr>
              <w:t>K_UK07</w:t>
            </w:r>
          </w:p>
        </w:tc>
        <w:tc>
          <w:tcPr>
            <w:tcW w:w="1049" w:type="pct"/>
            <w:vAlign w:val="center"/>
          </w:tcPr>
          <w:p w:rsidR="009B252E" w:rsidRDefault="009B252E" w:rsidP="000B0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45" w:type="pct"/>
            <w:shd w:val="clear" w:color="auto" w:fill="auto"/>
          </w:tcPr>
          <w:p w:rsidR="009B252E" w:rsidRPr="00F204CE" w:rsidRDefault="009B252E" w:rsidP="00F03C2B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aliczenie na ocen</w:t>
            </w:r>
            <w:r w:rsidRPr="00F204CE">
              <w:rPr>
                <w:sz w:val="20"/>
                <w:szCs w:val="20"/>
              </w:rPr>
              <w:t>ę</w:t>
            </w:r>
          </w:p>
        </w:tc>
        <w:tc>
          <w:tcPr>
            <w:tcW w:w="58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252E" w:rsidRDefault="009B252E" w:rsidP="009B2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</w:p>
          <w:p w:rsidR="009B252E" w:rsidRDefault="009B252E" w:rsidP="009B2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</w:t>
            </w:r>
          </w:p>
        </w:tc>
      </w:tr>
      <w:tr w:rsidR="002209ED" w:rsidRPr="00655F95" w:rsidTr="000B7AC9">
        <w:trPr>
          <w:jc w:val="center"/>
        </w:trPr>
        <w:tc>
          <w:tcPr>
            <w:tcW w:w="401" w:type="pct"/>
            <w:vAlign w:val="center"/>
          </w:tcPr>
          <w:p w:rsidR="002209ED" w:rsidRPr="00655F95" w:rsidRDefault="009B252E" w:rsidP="002209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K</w:t>
            </w:r>
            <w:r w:rsidR="000B7AC9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31" w:type="pct"/>
            <w:tcMar>
              <w:left w:w="28" w:type="dxa"/>
              <w:right w:w="28" w:type="dxa"/>
            </w:tcMar>
          </w:tcPr>
          <w:p w:rsidR="009B252E" w:rsidRDefault="009B252E" w:rsidP="009B252E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  <w:r w:rsidRPr="00676E18">
              <w:rPr>
                <w:sz w:val="20"/>
                <w:szCs w:val="20"/>
              </w:rPr>
              <w:t>Jest</w:t>
            </w:r>
            <w:r>
              <w:rPr>
                <w:sz w:val="20"/>
                <w:szCs w:val="20"/>
              </w:rPr>
              <w:t xml:space="preserve"> gotów pogłębiać swoją wiedzę i swoje umiejętności w zakresie CMS; </w:t>
            </w:r>
          </w:p>
          <w:p w:rsidR="002209ED" w:rsidRPr="009B252E" w:rsidRDefault="009B252E" w:rsidP="009B252E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chce konsultować się ze specjalistami w tej dziedzinie.</w:t>
            </w:r>
          </w:p>
        </w:tc>
        <w:tc>
          <w:tcPr>
            <w:tcW w:w="588" w:type="pct"/>
            <w:vAlign w:val="center"/>
          </w:tcPr>
          <w:p w:rsidR="002209ED" w:rsidRPr="009B252E" w:rsidRDefault="009B252E" w:rsidP="002209ED">
            <w:pPr>
              <w:jc w:val="center"/>
              <w:rPr>
                <w:bCs/>
                <w:sz w:val="20"/>
                <w:szCs w:val="16"/>
              </w:rPr>
            </w:pPr>
            <w:r w:rsidRPr="009B252E">
              <w:rPr>
                <w:bCs/>
                <w:sz w:val="20"/>
                <w:szCs w:val="16"/>
              </w:rPr>
              <w:t>K_KK01</w:t>
            </w:r>
          </w:p>
          <w:p w:rsidR="002209ED" w:rsidRPr="009B252E" w:rsidRDefault="009B252E" w:rsidP="002209ED">
            <w:pPr>
              <w:jc w:val="center"/>
              <w:rPr>
                <w:color w:val="000000"/>
                <w:sz w:val="20"/>
                <w:szCs w:val="20"/>
              </w:rPr>
            </w:pPr>
            <w:r w:rsidRPr="009B252E">
              <w:rPr>
                <w:bCs/>
                <w:sz w:val="20"/>
                <w:szCs w:val="16"/>
              </w:rPr>
              <w:t>K_KK</w:t>
            </w:r>
            <w:r w:rsidR="002209ED" w:rsidRPr="009B252E">
              <w:rPr>
                <w:bCs/>
                <w:sz w:val="20"/>
                <w:szCs w:val="16"/>
              </w:rPr>
              <w:t>0</w:t>
            </w:r>
            <w:r w:rsidRPr="009B252E">
              <w:rPr>
                <w:bCs/>
                <w:sz w:val="20"/>
                <w:szCs w:val="16"/>
              </w:rPr>
              <w:t>2</w:t>
            </w:r>
          </w:p>
        </w:tc>
        <w:tc>
          <w:tcPr>
            <w:tcW w:w="1049" w:type="pct"/>
            <w:vAlign w:val="center"/>
          </w:tcPr>
          <w:p w:rsidR="002209ED" w:rsidRPr="00F204CE" w:rsidRDefault="002209ED" w:rsidP="002209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45" w:type="pct"/>
            <w:shd w:val="clear" w:color="auto" w:fill="auto"/>
          </w:tcPr>
          <w:p w:rsidR="002209ED" w:rsidRPr="00F204CE" w:rsidRDefault="002209ED" w:rsidP="002209ED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aliczenie na ocen</w:t>
            </w:r>
            <w:r w:rsidRPr="00F204CE">
              <w:rPr>
                <w:sz w:val="20"/>
                <w:szCs w:val="20"/>
              </w:rPr>
              <w:t>ę</w:t>
            </w:r>
          </w:p>
        </w:tc>
        <w:tc>
          <w:tcPr>
            <w:tcW w:w="58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252E" w:rsidRDefault="009B252E" w:rsidP="009B2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</w:p>
          <w:p w:rsidR="002209ED" w:rsidRPr="009B252E" w:rsidRDefault="009B252E" w:rsidP="009B2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</w:t>
            </w: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0053534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55F95" w:rsidTr="0053534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Pr="00655F95" w:rsidRDefault="0053534F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podstawowa</w:t>
            </w:r>
          </w:p>
          <w:p w:rsidR="00D278ED" w:rsidRDefault="000B7AC9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ascii="TimesNewRomanPSMT" w:eastAsia="Calibri" w:hAnsi="TimesNewRomanPSMT" w:cs="TimesNewRomanPSMT"/>
                <w:sz w:val="20"/>
                <w:szCs w:val="20"/>
              </w:rPr>
            </w:pPr>
            <w:r w:rsidRPr="000B7AC9">
              <w:rPr>
                <w:rFonts w:ascii="TimesNewRomanPSMT" w:eastAsia="Calibri" w:hAnsi="TimesNewRomanPSMT" w:cs="TimesNewRomanPSMT"/>
                <w:sz w:val="20"/>
                <w:szCs w:val="20"/>
              </w:rPr>
              <w:t>CMS. Praktyczne projekty</w:t>
            </w:r>
            <w:r>
              <w:rPr>
                <w:rFonts w:ascii="TimesNewRomanPSMT" w:eastAsia="Calibri" w:hAnsi="TimesNewRomanPSMT" w:cs="TimesNewRomanPSMT"/>
                <w:sz w:val="20"/>
                <w:szCs w:val="20"/>
              </w:rPr>
              <w:t xml:space="preserve"> - </w:t>
            </w:r>
            <w:r w:rsidRPr="000B7AC9">
              <w:rPr>
                <w:rFonts w:ascii="TimesNewRomanPSMT" w:eastAsia="Calibri" w:hAnsi="TimesNewRomanPSMT" w:cs="TimesNewRomanPSMT"/>
                <w:sz w:val="20"/>
                <w:szCs w:val="20"/>
              </w:rPr>
              <w:t xml:space="preserve">Waldemar </w:t>
            </w:r>
            <w:proofErr w:type="spellStart"/>
            <w:r w:rsidRPr="000B7AC9">
              <w:rPr>
                <w:rFonts w:ascii="TimesNewRomanPSMT" w:eastAsia="Calibri" w:hAnsi="TimesNewRomanPSMT" w:cs="TimesNewRomanPSMT"/>
                <w:sz w:val="20"/>
                <w:szCs w:val="20"/>
              </w:rPr>
              <w:t>Howil</w:t>
            </w:r>
            <w:proofErr w:type="spellEnd"/>
            <w:r>
              <w:rPr>
                <w:rFonts w:ascii="TimesNewRomanPSMT" w:eastAsia="Calibri" w:hAnsi="TimesNewRomanPSMT" w:cs="TimesNewRomanPSMT"/>
                <w:sz w:val="20"/>
                <w:szCs w:val="20"/>
              </w:rPr>
              <w:t xml:space="preserve"> Helion</w:t>
            </w:r>
            <w:r w:rsidR="00A97D60">
              <w:rPr>
                <w:rFonts w:ascii="TimesNewRomanPSMT" w:eastAsia="Calibri" w:hAnsi="TimesNewRomanPSMT" w:cs="TimesNewRomanPSMT"/>
                <w:sz w:val="20"/>
                <w:szCs w:val="20"/>
              </w:rPr>
              <w:t xml:space="preserve"> 2007</w:t>
            </w:r>
          </w:p>
          <w:p w:rsidR="000B7AC9" w:rsidRDefault="000B7AC9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ascii="TimesNewRomanPSMT" w:eastAsia="Calibri" w:hAnsi="TimesNewRomanPSMT" w:cs="TimesNewRomanPSMT"/>
                <w:sz w:val="20"/>
                <w:szCs w:val="20"/>
              </w:rPr>
            </w:pPr>
            <w:r w:rsidRPr="000B7AC9">
              <w:rPr>
                <w:rFonts w:ascii="TimesNewRomanPSMT" w:eastAsia="Calibri" w:hAnsi="TimesNewRomanPSMT" w:cs="TimesNewRomanPSMT"/>
                <w:sz w:val="20"/>
                <w:szCs w:val="20"/>
              </w:rPr>
              <w:t>CMS. Jak szybko i łatwo stworzyć stronę WWW i zarządzać nią</w:t>
            </w:r>
            <w:r>
              <w:rPr>
                <w:rFonts w:ascii="TimesNewRomanPSMT" w:eastAsia="Calibri" w:hAnsi="TimesNewRomanPSMT" w:cs="TimesNewRomanPSMT"/>
                <w:sz w:val="20"/>
                <w:szCs w:val="20"/>
              </w:rPr>
              <w:t xml:space="preserve"> - </w:t>
            </w:r>
            <w:r w:rsidRPr="000B7AC9">
              <w:rPr>
                <w:rFonts w:ascii="TimesNewRomanPSMT" w:eastAsia="Calibri" w:hAnsi="TimesNewRomanPSMT" w:cs="TimesNewRomanPSMT"/>
                <w:sz w:val="20"/>
                <w:szCs w:val="20"/>
              </w:rPr>
              <w:t>Paweł Frankowski</w:t>
            </w:r>
            <w:r>
              <w:rPr>
                <w:rFonts w:ascii="TimesNewRomanPSMT" w:eastAsia="Calibri" w:hAnsi="TimesNewRomanPSMT" w:cs="TimesNewRomanPSMT"/>
                <w:sz w:val="20"/>
                <w:szCs w:val="20"/>
              </w:rPr>
              <w:t xml:space="preserve"> Helion</w:t>
            </w:r>
            <w:r w:rsidR="00D71132">
              <w:rPr>
                <w:rFonts w:ascii="TimesNewRomanPSMT" w:eastAsia="Calibri" w:hAnsi="TimesNewRomanPSMT" w:cs="TimesNewRomanPSMT"/>
                <w:sz w:val="20"/>
                <w:szCs w:val="20"/>
              </w:rPr>
              <w:t xml:space="preserve"> 2007</w:t>
            </w:r>
          </w:p>
          <w:p w:rsidR="000B7AC9" w:rsidRDefault="000B7AC9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ascii="TimesNewRomanPSMT" w:eastAsia="Calibri" w:hAnsi="TimesNewRomanPSMT" w:cs="TimesNewRomanPSMT"/>
                <w:sz w:val="20"/>
                <w:szCs w:val="20"/>
              </w:rPr>
            </w:pPr>
            <w:r w:rsidRPr="000B7AC9">
              <w:rPr>
                <w:rFonts w:ascii="TimesNewRomanPSMT" w:eastAsia="Calibri" w:hAnsi="TimesNewRomanPSMT" w:cs="TimesNewRomanPSMT"/>
                <w:sz w:val="20"/>
                <w:szCs w:val="20"/>
              </w:rPr>
              <w:t>Programowanie mobilnych stron internetowych z wykorzystaniem systemów CMS</w:t>
            </w:r>
            <w:r>
              <w:rPr>
                <w:rFonts w:ascii="TimesNewRomanPSMT" w:eastAsia="Calibri" w:hAnsi="TimesNewRomanPSMT" w:cs="TimesNewRomanPSMT"/>
                <w:sz w:val="20"/>
                <w:szCs w:val="20"/>
              </w:rPr>
              <w:t xml:space="preserve"> - </w:t>
            </w:r>
            <w:r w:rsidRPr="000B7AC9">
              <w:rPr>
                <w:rFonts w:ascii="TimesNewRomanPSMT" w:eastAsia="Calibri" w:hAnsi="TimesNewRomanPSMT" w:cs="TimesNewRomanPSMT"/>
                <w:sz w:val="20"/>
                <w:szCs w:val="20"/>
              </w:rPr>
              <w:t xml:space="preserve">James </w:t>
            </w:r>
            <w:proofErr w:type="spellStart"/>
            <w:r w:rsidRPr="000B7AC9">
              <w:rPr>
                <w:rFonts w:ascii="TimesNewRomanPSMT" w:eastAsia="Calibri" w:hAnsi="TimesNewRomanPSMT" w:cs="TimesNewRomanPSMT"/>
                <w:sz w:val="20"/>
                <w:szCs w:val="20"/>
              </w:rPr>
              <w:t>Pearce</w:t>
            </w:r>
            <w:proofErr w:type="spellEnd"/>
            <w:r>
              <w:rPr>
                <w:rFonts w:ascii="TimesNewRomanPSMT" w:eastAsia="Calibri" w:hAnsi="TimesNewRomanPSMT" w:cs="TimesNewRomanPSMT"/>
                <w:sz w:val="20"/>
                <w:szCs w:val="20"/>
              </w:rPr>
              <w:t xml:space="preserve"> Helion</w:t>
            </w:r>
            <w:r w:rsidR="00D71132">
              <w:rPr>
                <w:rFonts w:ascii="TimesNewRomanPSMT" w:eastAsia="Calibri" w:hAnsi="TimesNewRomanPSMT" w:cs="TimesNewRomanPSMT"/>
                <w:sz w:val="20"/>
                <w:szCs w:val="20"/>
              </w:rPr>
              <w:t xml:space="preserve"> 2012</w:t>
            </w:r>
          </w:p>
          <w:p w:rsidR="000B7AC9" w:rsidRPr="002209ED" w:rsidRDefault="000B7AC9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ascii="TimesNewRomanPSMT" w:eastAsia="Calibri" w:hAnsi="TimesNewRomanPSMT" w:cs="TimesNewRomanPSMT"/>
                <w:sz w:val="20"/>
                <w:szCs w:val="20"/>
              </w:rPr>
            </w:pPr>
          </w:p>
          <w:p w:rsidR="00D71132" w:rsidRPr="00D71132" w:rsidRDefault="006F460B" w:rsidP="00D71132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eastAsia="Calibri"/>
                <w:sz w:val="20"/>
                <w:szCs w:val="20"/>
              </w:rPr>
            </w:pPr>
            <w:r w:rsidRPr="00F03C2B">
              <w:rPr>
                <w:b/>
                <w:bCs/>
                <w:sz w:val="20"/>
                <w:szCs w:val="20"/>
              </w:rPr>
              <w:t>Literatura</w:t>
            </w:r>
            <w:r w:rsidR="00634628" w:rsidRPr="00F03C2B">
              <w:rPr>
                <w:b/>
                <w:bCs/>
                <w:sz w:val="20"/>
                <w:szCs w:val="20"/>
              </w:rPr>
              <w:t xml:space="preserve"> </w:t>
            </w:r>
            <w:r w:rsidRPr="00F03C2B">
              <w:rPr>
                <w:b/>
                <w:bCs/>
                <w:sz w:val="20"/>
                <w:szCs w:val="20"/>
              </w:rPr>
              <w:t>uzup</w:t>
            </w:r>
            <w:r w:rsidR="0053534F">
              <w:rPr>
                <w:b/>
                <w:bCs/>
                <w:sz w:val="20"/>
                <w:szCs w:val="20"/>
              </w:rPr>
              <w:t>ełniająca</w:t>
            </w:r>
          </w:p>
          <w:p w:rsidR="00D278ED" w:rsidRDefault="00D71132" w:rsidP="00D71132">
            <w:pPr>
              <w:rPr>
                <w:rFonts w:eastAsia="Calibri"/>
                <w:sz w:val="20"/>
                <w:szCs w:val="20"/>
              </w:rPr>
            </w:pPr>
            <w:r w:rsidRPr="00D71132">
              <w:rPr>
                <w:rFonts w:eastAsia="Calibri"/>
                <w:sz w:val="20"/>
                <w:szCs w:val="20"/>
              </w:rPr>
              <w:t xml:space="preserve">PHP My SQL Od podstaw wydanie IV, W. </w:t>
            </w:r>
            <w:proofErr w:type="spellStart"/>
            <w:r w:rsidRPr="00D71132">
              <w:rPr>
                <w:rFonts w:eastAsia="Calibri"/>
                <w:sz w:val="20"/>
                <w:szCs w:val="20"/>
              </w:rPr>
              <w:t>Jason</w:t>
            </w:r>
            <w:proofErr w:type="spellEnd"/>
            <w:r w:rsidRPr="00D71132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D71132">
              <w:rPr>
                <w:rFonts w:eastAsia="Calibri"/>
                <w:sz w:val="20"/>
                <w:szCs w:val="20"/>
              </w:rPr>
              <w:t>Gilmore</w:t>
            </w:r>
            <w:proofErr w:type="spellEnd"/>
            <w:r w:rsidRPr="00D71132">
              <w:rPr>
                <w:rFonts w:eastAsia="Calibri"/>
                <w:sz w:val="20"/>
                <w:szCs w:val="20"/>
              </w:rPr>
              <w:t>, Helion 2011</w:t>
            </w:r>
          </w:p>
          <w:p w:rsidR="00D71132" w:rsidRDefault="00D71132" w:rsidP="00D71132">
            <w:pPr>
              <w:rPr>
                <w:rFonts w:eastAsia="Calibri"/>
                <w:sz w:val="20"/>
                <w:szCs w:val="20"/>
              </w:rPr>
            </w:pPr>
            <w:r w:rsidRPr="00D71132">
              <w:rPr>
                <w:rFonts w:eastAsia="Calibri"/>
                <w:sz w:val="20"/>
                <w:szCs w:val="20"/>
              </w:rPr>
              <w:t>Word Press dla początkujących, Agnieszka Ciborowska Jarosław Lipiński Helion 2018</w:t>
            </w:r>
            <w:bookmarkStart w:id="0" w:name="_GoBack"/>
            <w:bookmarkEnd w:id="0"/>
          </w:p>
          <w:p w:rsidR="00D71132" w:rsidRPr="00D278ED" w:rsidRDefault="00D71132" w:rsidP="00D71132">
            <w:pPr>
              <w:rPr>
                <w:rFonts w:eastAsia="Calibri"/>
                <w:sz w:val="20"/>
                <w:szCs w:val="20"/>
              </w:rPr>
            </w:pPr>
          </w:p>
          <w:p w:rsidR="00C85B6C" w:rsidRPr="00F03C2B" w:rsidRDefault="00C85B6C" w:rsidP="00655F95">
            <w:pPr>
              <w:rPr>
                <w:b/>
                <w:sz w:val="20"/>
                <w:szCs w:val="20"/>
              </w:rPr>
            </w:pPr>
            <w:r w:rsidRPr="00F03C2B">
              <w:rPr>
                <w:b/>
                <w:sz w:val="20"/>
                <w:szCs w:val="20"/>
              </w:rPr>
              <w:t>Pomoce</w:t>
            </w:r>
            <w:r w:rsidR="00634628" w:rsidRPr="00F03C2B">
              <w:rPr>
                <w:b/>
                <w:sz w:val="20"/>
                <w:szCs w:val="20"/>
              </w:rPr>
              <w:t xml:space="preserve"> </w:t>
            </w:r>
            <w:r w:rsidR="0053534F">
              <w:rPr>
                <w:b/>
                <w:sz w:val="20"/>
                <w:szCs w:val="20"/>
              </w:rPr>
              <w:t>naukowe</w:t>
            </w:r>
          </w:p>
          <w:p w:rsidR="000B03E6" w:rsidRPr="000B03E6" w:rsidRDefault="009B252E" w:rsidP="00F03C2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Komputery z łączem internetowym; i</w:t>
            </w:r>
            <w:r w:rsidR="000B03E6">
              <w:rPr>
                <w:sz w:val="20"/>
                <w:szCs w:val="20"/>
              </w:rPr>
              <w:t>nstrukcje obsługi urządzeń i oprogramowania</w:t>
            </w:r>
            <w:r>
              <w:rPr>
                <w:sz w:val="20"/>
                <w:szCs w:val="20"/>
              </w:rPr>
              <w:t xml:space="preserve">; </w:t>
            </w:r>
            <w:r w:rsidR="00D278ED">
              <w:rPr>
                <w:sz w:val="20"/>
                <w:szCs w:val="20"/>
              </w:rPr>
              <w:t>materiały prowadzącego zajęcia</w:t>
            </w:r>
            <w:r w:rsidR="000B03E6">
              <w:rPr>
                <w:sz w:val="20"/>
                <w:szCs w:val="20"/>
              </w:rPr>
              <w:t>.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15368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15368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1536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2D3700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2D3700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0B03E6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1536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2D3700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2D3700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15368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1536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</w:t>
            </w:r>
            <w:r w:rsidR="009B252E">
              <w:rPr>
                <w:sz w:val="20"/>
                <w:szCs w:val="20"/>
                <w:lang w:eastAsia="en-US"/>
              </w:rPr>
              <w:t>y zaliczeniowej</w:t>
            </w:r>
          </w:p>
          <w:p w:rsidR="00411DC5" w:rsidRPr="00655F95" w:rsidRDefault="00411DC5" w:rsidP="001536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2D3700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2D3700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15368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25[h] / 1,0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0B03E6" w:rsidP="000B03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>
              <w:rPr>
                <w:rFonts w:eastAsia="Calibri"/>
                <w:sz w:val="20"/>
                <w:szCs w:val="20"/>
                <w:lang w:eastAsia="en-US"/>
              </w:rPr>
              <w:t>0,8</w:t>
            </w:r>
            <w:r w:rsidR="005E67E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15368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0B03E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lastRenderedPageBreak/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655F95">
      <w:pPr>
        <w:rPr>
          <w:b/>
          <w:bCs/>
          <w:sz w:val="20"/>
          <w:szCs w:val="20"/>
        </w:rPr>
      </w:pPr>
    </w:p>
    <w:p w:rsidR="000B03E6" w:rsidRPr="00655F95" w:rsidRDefault="000B03E6" w:rsidP="00655F95">
      <w:pPr>
        <w:rPr>
          <w:b/>
          <w:bCs/>
          <w:sz w:val="20"/>
          <w:szCs w:val="20"/>
        </w:rPr>
      </w:pPr>
    </w:p>
    <w:sectPr w:rsidR="000B03E6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34D92"/>
    <w:rsid w:val="000352CA"/>
    <w:rsid w:val="00043F4C"/>
    <w:rsid w:val="0008168E"/>
    <w:rsid w:val="000870B5"/>
    <w:rsid w:val="000B03E6"/>
    <w:rsid w:val="000B5C55"/>
    <w:rsid w:val="000B7A89"/>
    <w:rsid w:val="000B7AC9"/>
    <w:rsid w:val="000B7B9B"/>
    <w:rsid w:val="000E4868"/>
    <w:rsid w:val="000F5188"/>
    <w:rsid w:val="0010370D"/>
    <w:rsid w:val="00104762"/>
    <w:rsid w:val="00113659"/>
    <w:rsid w:val="00115549"/>
    <w:rsid w:val="00141D04"/>
    <w:rsid w:val="0015368E"/>
    <w:rsid w:val="00162347"/>
    <w:rsid w:val="0017080E"/>
    <w:rsid w:val="001D7CE1"/>
    <w:rsid w:val="001E6057"/>
    <w:rsid w:val="001F5388"/>
    <w:rsid w:val="0021600D"/>
    <w:rsid w:val="002209ED"/>
    <w:rsid w:val="0027448A"/>
    <w:rsid w:val="0029173D"/>
    <w:rsid w:val="002D3700"/>
    <w:rsid w:val="002E38EB"/>
    <w:rsid w:val="002F61A6"/>
    <w:rsid w:val="00303278"/>
    <w:rsid w:val="00313BE2"/>
    <w:rsid w:val="003456B6"/>
    <w:rsid w:val="003738EB"/>
    <w:rsid w:val="00383305"/>
    <w:rsid w:val="003A33CA"/>
    <w:rsid w:val="003A6564"/>
    <w:rsid w:val="003A799C"/>
    <w:rsid w:val="00400E82"/>
    <w:rsid w:val="00411AA2"/>
    <w:rsid w:val="00411DC5"/>
    <w:rsid w:val="004300D4"/>
    <w:rsid w:val="004666A1"/>
    <w:rsid w:val="00471F39"/>
    <w:rsid w:val="00485BBF"/>
    <w:rsid w:val="004B01D4"/>
    <w:rsid w:val="004F1169"/>
    <w:rsid w:val="004F664B"/>
    <w:rsid w:val="00513FA6"/>
    <w:rsid w:val="00524904"/>
    <w:rsid w:val="0053534F"/>
    <w:rsid w:val="00544C19"/>
    <w:rsid w:val="00552681"/>
    <w:rsid w:val="005632F8"/>
    <w:rsid w:val="005643A7"/>
    <w:rsid w:val="00572C19"/>
    <w:rsid w:val="005A0364"/>
    <w:rsid w:val="005A05CA"/>
    <w:rsid w:val="005A43A9"/>
    <w:rsid w:val="005E67E0"/>
    <w:rsid w:val="00634628"/>
    <w:rsid w:val="00641A90"/>
    <w:rsid w:val="00655F95"/>
    <w:rsid w:val="00663D72"/>
    <w:rsid w:val="006B588E"/>
    <w:rsid w:val="006C345D"/>
    <w:rsid w:val="006C5AAF"/>
    <w:rsid w:val="006D015E"/>
    <w:rsid w:val="006D0528"/>
    <w:rsid w:val="006D60C1"/>
    <w:rsid w:val="006D61D7"/>
    <w:rsid w:val="006F460B"/>
    <w:rsid w:val="0071323F"/>
    <w:rsid w:val="00723672"/>
    <w:rsid w:val="00723968"/>
    <w:rsid w:val="00770B09"/>
    <w:rsid w:val="00792A86"/>
    <w:rsid w:val="007C6294"/>
    <w:rsid w:val="007D32B2"/>
    <w:rsid w:val="007F413A"/>
    <w:rsid w:val="008212F6"/>
    <w:rsid w:val="008226CB"/>
    <w:rsid w:val="00837BEE"/>
    <w:rsid w:val="00865036"/>
    <w:rsid w:val="008664CE"/>
    <w:rsid w:val="00884363"/>
    <w:rsid w:val="008C0304"/>
    <w:rsid w:val="008C665D"/>
    <w:rsid w:val="008D0BB0"/>
    <w:rsid w:val="008E3F46"/>
    <w:rsid w:val="00903A4A"/>
    <w:rsid w:val="0094449C"/>
    <w:rsid w:val="009B252E"/>
    <w:rsid w:val="009C3D6D"/>
    <w:rsid w:val="009F25C1"/>
    <w:rsid w:val="009F4553"/>
    <w:rsid w:val="00A20EA2"/>
    <w:rsid w:val="00A37AEB"/>
    <w:rsid w:val="00A43314"/>
    <w:rsid w:val="00A57187"/>
    <w:rsid w:val="00A97D60"/>
    <w:rsid w:val="00AA4303"/>
    <w:rsid w:val="00AB7F0D"/>
    <w:rsid w:val="00AF3A5B"/>
    <w:rsid w:val="00B01D75"/>
    <w:rsid w:val="00B3160B"/>
    <w:rsid w:val="00B329EC"/>
    <w:rsid w:val="00B32FE5"/>
    <w:rsid w:val="00B8704F"/>
    <w:rsid w:val="00BC5C03"/>
    <w:rsid w:val="00C0001C"/>
    <w:rsid w:val="00C0360B"/>
    <w:rsid w:val="00C416ED"/>
    <w:rsid w:val="00C67AB5"/>
    <w:rsid w:val="00C76B26"/>
    <w:rsid w:val="00C85B6C"/>
    <w:rsid w:val="00C92681"/>
    <w:rsid w:val="00CA46A6"/>
    <w:rsid w:val="00CA6C84"/>
    <w:rsid w:val="00CB7A77"/>
    <w:rsid w:val="00CC0B71"/>
    <w:rsid w:val="00CC655A"/>
    <w:rsid w:val="00CD26FE"/>
    <w:rsid w:val="00CE4039"/>
    <w:rsid w:val="00CF0CF0"/>
    <w:rsid w:val="00D03A8A"/>
    <w:rsid w:val="00D0545E"/>
    <w:rsid w:val="00D278ED"/>
    <w:rsid w:val="00D301FC"/>
    <w:rsid w:val="00D43F6D"/>
    <w:rsid w:val="00D6774D"/>
    <w:rsid w:val="00D71132"/>
    <w:rsid w:val="00D732A3"/>
    <w:rsid w:val="00DA5DE7"/>
    <w:rsid w:val="00DA7D28"/>
    <w:rsid w:val="00DC502E"/>
    <w:rsid w:val="00DC69FE"/>
    <w:rsid w:val="00E03B36"/>
    <w:rsid w:val="00E11A10"/>
    <w:rsid w:val="00E72B24"/>
    <w:rsid w:val="00E73E72"/>
    <w:rsid w:val="00E74CEF"/>
    <w:rsid w:val="00E91EF2"/>
    <w:rsid w:val="00EC093D"/>
    <w:rsid w:val="00ED7A17"/>
    <w:rsid w:val="00F006B2"/>
    <w:rsid w:val="00F03C2B"/>
    <w:rsid w:val="00F4163B"/>
    <w:rsid w:val="00F41C81"/>
    <w:rsid w:val="00F61D7A"/>
    <w:rsid w:val="00F73055"/>
    <w:rsid w:val="00F805D7"/>
    <w:rsid w:val="00F81FDD"/>
    <w:rsid w:val="00F826B2"/>
    <w:rsid w:val="00FC0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3D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9C3D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054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0545E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18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97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7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42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457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66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2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.kopania@uthrad.p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686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12</cp:revision>
  <cp:lastPrinted>2021-01-21T07:16:00Z</cp:lastPrinted>
  <dcterms:created xsi:type="dcterms:W3CDTF">2021-01-22T13:34:00Z</dcterms:created>
  <dcterms:modified xsi:type="dcterms:W3CDTF">2021-09-13T10:39:00Z</dcterms:modified>
</cp:coreProperties>
</file>