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BF" w:rsidRDefault="009449BF">
      <w:pPr>
        <w:jc w:val="center"/>
        <w:rPr>
          <w:b/>
          <w:bCs/>
          <w:sz w:val="22"/>
          <w:szCs w:val="22"/>
        </w:rPr>
      </w:pPr>
    </w:p>
    <w:p w:rsidR="009449BF" w:rsidRDefault="00A02B1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449BF" w:rsidRDefault="00A02B1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 w:firstRow="1" w:lastRow="0" w:firstColumn="1" w:lastColumn="0" w:noHBand="0" w:noVBand="0"/>
      </w:tblPr>
      <w:tblGrid>
        <w:gridCol w:w="2565"/>
        <w:gridCol w:w="2302"/>
        <w:gridCol w:w="891"/>
        <w:gridCol w:w="1877"/>
        <w:gridCol w:w="1410"/>
        <w:gridCol w:w="957"/>
        <w:gridCol w:w="1214"/>
      </w:tblGrid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extDirection w:val="btLr"/>
            <w:vAlign w:val="center"/>
          </w:tcPr>
          <w:p w:rsidR="009449BF" w:rsidRDefault="00A02B1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przed</w:t>
            </w:r>
          </w:p>
          <w:p w:rsidR="009449BF" w:rsidRDefault="00A02B1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r>
              <w:rPr>
                <w:sz w:val="20"/>
                <w:szCs w:val="20"/>
              </w:rPr>
              <w:t>Polski system medialny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/>
              </w:rPr>
              <w:t>UTH/F/P/DZ/B1/ST/1(l)/2L/9</w:t>
            </w: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 xml:space="preserve"> Media System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9449BF">
        <w:trPr>
          <w:trHeight w:val="277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Studia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pierwszego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Drugi (letni</w:t>
            </w:r>
            <w:r w:rsidR="00A02B16">
              <w:rPr>
                <w:sz w:val="20"/>
                <w:szCs w:val="20"/>
              </w:rPr>
              <w:t>)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Grupa zajęć kierunkowych obowiązkowych (B1</w:t>
            </w:r>
            <w:r w:rsidR="00A02B16">
              <w:rPr>
                <w:sz w:val="20"/>
                <w:szCs w:val="20"/>
              </w:rPr>
              <w:t>)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1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</w:t>
            </w:r>
            <w:r w:rsidR="00A02B1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02B16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2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02B1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9449BF">
        <w:trPr>
          <w:trHeight w:val="363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CA45C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02B1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Tradycyjna – zajęcia zorganizowane na uczelni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A02B16">
            <w:pPr>
              <w:rPr>
                <w:sz w:val="20"/>
                <w:szCs w:val="20"/>
              </w:rPr>
            </w:pPr>
            <w:proofErr w:type="spellStart"/>
            <w:r w:rsidRPr="004A2F3C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4A2F3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2F3C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4A2F3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2F3C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>Mgr Krzysztof Czaban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>Mgr Krzysztof Czaban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r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A74895">
            <w:pPr>
              <w:rPr>
                <w:sz w:val="20"/>
                <w:szCs w:val="20"/>
              </w:rPr>
            </w:pPr>
            <w:hyperlink r:id="rId5" w:history="1">
              <w:r w:rsidR="00CA45C3" w:rsidRPr="004E698D">
                <w:rPr>
                  <w:rStyle w:val="Hipercze"/>
                  <w:sz w:val="20"/>
                  <w:szCs w:val="20"/>
                  <w:lang w:val="en-US"/>
                </w:rPr>
                <w:t>www.wfp.uniwersytetradom.pl</w:t>
              </w:r>
            </w:hyperlink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r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A74895">
            <w:pPr>
              <w:rPr>
                <w:sz w:val="20"/>
                <w:szCs w:val="20"/>
              </w:rPr>
            </w:pPr>
            <w:hyperlink r:id="rId6" w:history="1">
              <w:r w:rsidR="00CA45C3" w:rsidRPr="004E698D">
                <w:rPr>
                  <w:rStyle w:val="Hipercze"/>
                  <w:sz w:val="20"/>
                  <w:szCs w:val="20"/>
                </w:rPr>
                <w:t>czaban@zebrra.tv</w:t>
              </w:r>
            </w:hyperlink>
          </w:p>
        </w:tc>
      </w:tr>
    </w:tbl>
    <w:p w:rsidR="009449BF" w:rsidRDefault="009449B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9449BF" w:rsidRDefault="00A02B16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br w:type="page"/>
      </w:r>
    </w:p>
    <w:p w:rsidR="009449BF" w:rsidRDefault="00A02B16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 w:firstRow="1" w:lastRow="0" w:firstColumn="1" w:lastColumn="0" w:noHBand="0" w:noVBand="0"/>
      </w:tblPr>
      <w:tblGrid>
        <w:gridCol w:w="4398"/>
        <w:gridCol w:w="6818"/>
      </w:tblGrid>
      <w:tr w:rsidR="009449BF" w:rsidTr="00EE2431">
        <w:trPr>
          <w:trHeight w:val="305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Pr="00CA45C3" w:rsidRDefault="00A02B16">
            <w:pPr>
              <w:jc w:val="both"/>
              <w:rPr>
                <w:rFonts w:eastAsia="Calibri"/>
                <w:sz w:val="20"/>
                <w:szCs w:val="20"/>
              </w:rPr>
            </w:pPr>
            <w:r w:rsidRPr="00CA45C3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CA45C3" w:rsidRDefault="00CA45C3" w:rsidP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CA45C3">
              <w:rPr>
                <w:rStyle w:val="wrtext"/>
                <w:sz w:val="20"/>
                <w:szCs w:val="20"/>
              </w:rPr>
              <w:t>Zapoznanie studentów ze strukturą i działaniem polskiego systemu medialnego, jego funkcją w społeczeństwie informacyjnym, konsumpcyjnym i obywatelskim.</w:t>
            </w:r>
          </w:p>
        </w:tc>
      </w:tr>
      <w:tr w:rsidR="009449BF" w:rsidTr="00CA45C3">
        <w:trPr>
          <w:trHeight w:val="2254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Pr="00CA45C3" w:rsidRDefault="00A02B16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CA45C3">
              <w:rPr>
                <w:rFonts w:eastAsia="Calibri"/>
                <w:sz w:val="20"/>
                <w:szCs w:val="20"/>
                <w:lang w:eastAsia="en-US"/>
              </w:rPr>
              <w:t>Treści programowe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1. Definicja systemu medialnego. Klasyfikacje systemów medialnych.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2. Geneza współczesnego polskiego systemu medialnego, cz. 1 (1981-1990).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3. Geneza współczesnego polskiego systemu medialnego, cz. 2 (1991-2004).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4. Geneza współczesnego polskiego systemu medialnego, cz. 3 (2005-2019).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5. Uwarunkowania prawno-instytucjonalne działalności mediów w Polsce.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6. Typologia mediów w Polsce: m. publiczne, m. społeczne, m. komercyjne; m. ogólnopolskie, m. regionalne, m. lokalne.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7. Analiza współczesnego rynku prasowego w Polsce.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8. Analiza współczesnego systemu radiofonii w Polsce.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9. Analiza współczesnego rynku telewizyjnego w Polsce.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10. Analiza współczesnego systemu nowych mediów elektronicznych w Polsce.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11. Analiza współczesnego rynku mediów lokalnych w Polsce.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12. Polskie media a życie polityczne.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13. Kontekst społeczno-ekonomiczny polskiego systemu medialnego. </w:t>
            </w:r>
          </w:p>
          <w:p w:rsidR="00CA45C3" w:rsidRPr="00CA45C3" w:rsidRDefault="00CA45C3" w:rsidP="00EE2431">
            <w:pPr>
              <w:rPr>
                <w:rFonts w:eastAsia="TimesNewRoman"/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 xml:space="preserve">14. Techniczne aspekty rozwoju mediów w Polsce. </w:t>
            </w:r>
          </w:p>
          <w:p w:rsidR="009449BF" w:rsidRPr="00CA45C3" w:rsidRDefault="00CA45C3" w:rsidP="00EE2431">
            <w:pPr>
              <w:rPr>
                <w:sz w:val="20"/>
                <w:szCs w:val="20"/>
              </w:rPr>
            </w:pPr>
            <w:r w:rsidRPr="00CA45C3">
              <w:rPr>
                <w:rFonts w:eastAsia="TimesNewRoman"/>
                <w:sz w:val="20"/>
                <w:szCs w:val="20"/>
              </w:rPr>
              <w:t>15. Przyszłość polskiego systemu medialnego.</w:t>
            </w:r>
          </w:p>
        </w:tc>
      </w:tr>
      <w:tr w:rsidR="009449BF">
        <w:trPr>
          <w:trHeight w:val="213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A45C3" w:rsidRPr="00CA45C3" w:rsidRDefault="00CA45C3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CA45C3">
              <w:rPr>
                <w:bCs/>
                <w:sz w:val="20"/>
                <w:szCs w:val="16"/>
              </w:rPr>
              <w:t>Praca pod kierunkiem (</w:t>
            </w:r>
            <w:r w:rsidRPr="00CA45C3">
              <w:rPr>
                <w:sz w:val="20"/>
                <w:szCs w:val="16"/>
              </w:rPr>
              <w:t>analiza aktów prawnych, danych statystycznych, tekstów krytycznych; rozwiązywanie problemów).</w:t>
            </w:r>
          </w:p>
          <w:p w:rsidR="00EE2431" w:rsidRDefault="00CA45C3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CA45C3">
              <w:rPr>
                <w:sz w:val="20"/>
                <w:szCs w:val="16"/>
              </w:rPr>
              <w:t>P</w:t>
            </w:r>
            <w:r w:rsidRPr="00CA45C3">
              <w:rPr>
                <w:bCs/>
                <w:sz w:val="20"/>
                <w:szCs w:val="16"/>
              </w:rPr>
              <w:t>rezentacja multimedialna połączona z dyskusją.</w:t>
            </w:r>
          </w:p>
        </w:tc>
      </w:tr>
      <w:tr w:rsidR="009449BF">
        <w:trPr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333A23" w:rsidRPr="0009241D" w:rsidRDefault="00333A23" w:rsidP="00333A23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zalic</w:t>
            </w:r>
            <w:r w:rsidR="00CA45C3">
              <w:rPr>
                <w:rFonts w:eastAsia="Calibri"/>
                <w:sz w:val="20"/>
                <w:szCs w:val="20"/>
              </w:rPr>
              <w:t>zeniowa (prezentacja multimedialna</w:t>
            </w:r>
            <w:r>
              <w:rPr>
                <w:rFonts w:eastAsia="Calibri"/>
                <w:sz w:val="20"/>
                <w:szCs w:val="20"/>
              </w:rPr>
              <w:t>)  – 50 % oceny.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4" w:type="dxa"/>
        </w:tblCellMar>
        <w:tblLook w:val="00A0" w:firstRow="1" w:lastRow="0" w:firstColumn="1" w:lastColumn="0" w:noHBand="0" w:noVBand="0"/>
      </w:tblPr>
      <w:tblGrid>
        <w:gridCol w:w="936"/>
        <w:gridCol w:w="4297"/>
        <w:gridCol w:w="1253"/>
        <w:gridCol w:w="1252"/>
        <w:gridCol w:w="1251"/>
        <w:gridCol w:w="2212"/>
        <w:gridCol w:w="9"/>
      </w:tblGrid>
      <w:tr w:rsidR="009449BF" w:rsidTr="007A652F">
        <w:trPr>
          <w:jc w:val="center"/>
        </w:trPr>
        <w:tc>
          <w:tcPr>
            <w:tcW w:w="7738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47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26F9" w:rsidTr="007A652F">
        <w:trPr>
          <w:jc w:val="center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29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5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2221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26F9" w:rsidTr="00333A23">
        <w:trPr>
          <w:gridAfter w:val="1"/>
          <w:wAfter w:w="9" w:type="dxa"/>
          <w:trHeight w:val="282"/>
          <w:jc w:val="center"/>
        </w:trPr>
        <w:tc>
          <w:tcPr>
            <w:tcW w:w="9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326F9" w:rsidRPr="00CA45C3" w:rsidRDefault="005326F9" w:rsidP="005326F9">
            <w:pPr>
              <w:rPr>
                <w:sz w:val="20"/>
                <w:szCs w:val="20"/>
              </w:rPr>
            </w:pPr>
            <w:r w:rsidRPr="00CA45C3">
              <w:rPr>
                <w:sz w:val="20"/>
                <w:szCs w:val="20"/>
              </w:rPr>
              <w:t>W1</w:t>
            </w:r>
          </w:p>
        </w:tc>
        <w:tc>
          <w:tcPr>
            <w:tcW w:w="42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5326F9" w:rsidRPr="00CA45C3" w:rsidRDefault="005326F9" w:rsidP="0053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CA45C3">
              <w:rPr>
                <w:sz w:val="20"/>
                <w:szCs w:val="20"/>
              </w:rPr>
              <w:t>na historyczną genezę współczesnego systemu medialnego w Polsce; zna główne typy i branże mediów oraz najważniejsze podmioty rodz</w:t>
            </w:r>
            <w:r>
              <w:rPr>
                <w:sz w:val="20"/>
                <w:szCs w:val="20"/>
              </w:rPr>
              <w:t xml:space="preserve">imego rynku medialnego; rozumie </w:t>
            </w:r>
            <w:r w:rsidRPr="00CA45C3">
              <w:rPr>
                <w:sz w:val="20"/>
                <w:szCs w:val="20"/>
              </w:rPr>
              <w:t>kontekst prawno-polityczny, społeczno-ekonomiczny i</w:t>
            </w:r>
            <w:r>
              <w:rPr>
                <w:sz w:val="20"/>
                <w:szCs w:val="20"/>
              </w:rPr>
              <w:t xml:space="preserve"> techniczny działalności mediów </w:t>
            </w:r>
            <w:r w:rsidRPr="00CA45C3">
              <w:rPr>
                <w:sz w:val="20"/>
                <w:szCs w:val="20"/>
              </w:rPr>
              <w:t>w Polsce.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326F9" w:rsidRDefault="005326F9" w:rsidP="005326F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  <w:p w:rsidR="005326F9" w:rsidRDefault="005326F9" w:rsidP="005326F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K_WK12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326F9" w:rsidRDefault="005326F9" w:rsidP="0053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5326F9" w:rsidRDefault="005326F9" w:rsidP="005326F9">
            <w:pPr>
              <w:rPr>
                <w:sz w:val="20"/>
                <w:szCs w:val="20"/>
              </w:rPr>
            </w:pPr>
          </w:p>
          <w:p w:rsidR="00A74895" w:rsidRDefault="00A74895" w:rsidP="005326F9">
            <w:pPr>
              <w:rPr>
                <w:sz w:val="20"/>
                <w:szCs w:val="20"/>
              </w:rPr>
            </w:pPr>
          </w:p>
          <w:p w:rsidR="005326F9" w:rsidRDefault="005326F9" w:rsidP="0053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5326F9" w:rsidRDefault="005326F9" w:rsidP="0053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5326F9" w:rsidRDefault="005326F9" w:rsidP="00532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27046C" w:rsidTr="007A652F">
        <w:trPr>
          <w:gridAfter w:val="1"/>
          <w:wAfter w:w="9" w:type="dxa"/>
          <w:trHeight w:val="480"/>
          <w:jc w:val="center"/>
        </w:trPr>
        <w:tc>
          <w:tcPr>
            <w:tcW w:w="9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046C" w:rsidRPr="00CA45C3" w:rsidRDefault="0027046C" w:rsidP="0027046C">
            <w:pPr>
              <w:rPr>
                <w:sz w:val="20"/>
                <w:szCs w:val="20"/>
              </w:rPr>
            </w:pPr>
            <w:r w:rsidRPr="00CA45C3">
              <w:rPr>
                <w:sz w:val="20"/>
                <w:szCs w:val="20"/>
              </w:rPr>
              <w:t>U1</w:t>
            </w:r>
          </w:p>
        </w:tc>
        <w:tc>
          <w:tcPr>
            <w:tcW w:w="42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Potrafi: wyszukiwać i analizować</w:t>
            </w:r>
            <w:r w:rsidRPr="00CA45C3">
              <w:rPr>
                <w:sz w:val="20"/>
                <w:szCs w:val="20"/>
              </w:rPr>
              <w:t xml:space="preserve"> akty prawne, 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 w:rsidRPr="00CA45C3">
              <w:rPr>
                <w:sz w:val="20"/>
                <w:szCs w:val="20"/>
              </w:rPr>
              <w:t xml:space="preserve">dane statystyczne, teksty krytyczne dotyczące polskiego </w:t>
            </w:r>
            <w:r>
              <w:rPr>
                <w:sz w:val="20"/>
                <w:szCs w:val="20"/>
              </w:rPr>
              <w:t xml:space="preserve">rynku medialnego; charakteryzować zjawiska </w:t>
            </w:r>
            <w:r w:rsidRPr="00CA45C3">
              <w:rPr>
                <w:sz w:val="20"/>
                <w:szCs w:val="20"/>
              </w:rPr>
              <w:t>i procesy (cyfryzacja, formatowanie, komercjalizacja, konwergencja, sieciowanie</w:t>
            </w:r>
            <w:r>
              <w:rPr>
                <w:sz w:val="20"/>
                <w:szCs w:val="20"/>
              </w:rPr>
              <w:t xml:space="preserve"> itd.) zachodzące </w:t>
            </w:r>
            <w:r w:rsidRPr="00CA45C3">
              <w:rPr>
                <w:sz w:val="20"/>
                <w:szCs w:val="20"/>
              </w:rPr>
              <w:t>w polski</w:t>
            </w:r>
            <w:r>
              <w:rPr>
                <w:sz w:val="20"/>
                <w:szCs w:val="20"/>
              </w:rPr>
              <w:t xml:space="preserve">m systemie medialnym; porównywać </w:t>
            </w:r>
            <w:r w:rsidRPr="00CA45C3">
              <w:rPr>
                <w:sz w:val="20"/>
                <w:szCs w:val="20"/>
              </w:rPr>
              <w:t>polski ustrój medialny z systemami innych krajów europejskich; ocenia</w:t>
            </w:r>
            <w:r>
              <w:rPr>
                <w:sz w:val="20"/>
                <w:szCs w:val="20"/>
              </w:rPr>
              <w:t>ć</w:t>
            </w:r>
            <w:r w:rsidRPr="00CA45C3">
              <w:rPr>
                <w:sz w:val="20"/>
                <w:szCs w:val="20"/>
              </w:rPr>
              <w:t xml:space="preserve"> szanse </w:t>
            </w:r>
          </w:p>
          <w:p w:rsidR="0027046C" w:rsidRPr="00CA45C3" w:rsidRDefault="0027046C" w:rsidP="0027046C">
            <w:pPr>
              <w:rPr>
                <w:sz w:val="20"/>
                <w:szCs w:val="20"/>
              </w:rPr>
            </w:pPr>
            <w:r w:rsidRPr="00CA45C3">
              <w:rPr>
                <w:sz w:val="20"/>
                <w:szCs w:val="20"/>
              </w:rPr>
              <w:t>i zagrożenia związane z rozwojem cywilizacji medialnej w Polsce; tworzy</w:t>
            </w:r>
            <w:r>
              <w:rPr>
                <w:sz w:val="20"/>
                <w:szCs w:val="20"/>
              </w:rPr>
              <w:t>ć</w:t>
            </w:r>
            <w:r w:rsidRPr="00CA45C3">
              <w:rPr>
                <w:sz w:val="20"/>
                <w:szCs w:val="20"/>
              </w:rPr>
              <w:t xml:space="preserve"> teksty i prezentacje </w:t>
            </w:r>
            <w:r>
              <w:rPr>
                <w:sz w:val="20"/>
                <w:szCs w:val="20"/>
              </w:rPr>
              <w:t>multi</w:t>
            </w:r>
            <w:r w:rsidRPr="00CA45C3">
              <w:rPr>
                <w:sz w:val="20"/>
                <w:szCs w:val="20"/>
              </w:rPr>
              <w:t>medialne dotyczące polskiego systemu medialnego.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K_UW07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K_UW08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27046C" w:rsidRDefault="0027046C" w:rsidP="0027046C">
            <w:pPr>
              <w:rPr>
                <w:sz w:val="20"/>
                <w:szCs w:val="20"/>
              </w:rPr>
            </w:pPr>
          </w:p>
          <w:p w:rsidR="0027046C" w:rsidRDefault="0027046C" w:rsidP="0027046C">
            <w:pPr>
              <w:rPr>
                <w:sz w:val="20"/>
                <w:szCs w:val="20"/>
              </w:rPr>
            </w:pPr>
          </w:p>
          <w:p w:rsidR="0027046C" w:rsidRDefault="0027046C" w:rsidP="0027046C">
            <w:pPr>
              <w:rPr>
                <w:sz w:val="20"/>
                <w:szCs w:val="20"/>
              </w:rPr>
            </w:pPr>
          </w:p>
          <w:p w:rsidR="0027046C" w:rsidRDefault="0027046C" w:rsidP="0027046C">
            <w:pPr>
              <w:rPr>
                <w:sz w:val="20"/>
                <w:szCs w:val="20"/>
              </w:rPr>
            </w:pPr>
          </w:p>
          <w:p w:rsidR="0027046C" w:rsidRDefault="0027046C" w:rsidP="0027046C">
            <w:pPr>
              <w:rPr>
                <w:sz w:val="20"/>
                <w:szCs w:val="20"/>
              </w:rPr>
            </w:pP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27046C" w:rsidTr="00A74895">
        <w:trPr>
          <w:gridAfter w:val="1"/>
          <w:wAfter w:w="9" w:type="dxa"/>
          <w:trHeight w:val="334"/>
          <w:jc w:val="center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7046C" w:rsidRPr="00CA45C3" w:rsidRDefault="0027046C" w:rsidP="0027046C">
            <w:pPr>
              <w:rPr>
                <w:sz w:val="20"/>
                <w:szCs w:val="20"/>
              </w:rPr>
            </w:pPr>
            <w:r w:rsidRPr="00CA45C3">
              <w:rPr>
                <w:sz w:val="20"/>
                <w:szCs w:val="20"/>
              </w:rPr>
              <w:t>K1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2" w:type="dxa"/>
              <w:right w:w="28" w:type="dxa"/>
            </w:tcMar>
            <w:vAlign w:val="center"/>
          </w:tcPr>
          <w:p w:rsidR="0027046C" w:rsidRDefault="0027046C" w:rsidP="00270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przygotowany do życia </w:t>
            </w:r>
            <w:r w:rsidRPr="00CA45C3">
              <w:rPr>
                <w:sz w:val="20"/>
                <w:szCs w:val="20"/>
              </w:rPr>
              <w:t xml:space="preserve">jako świadomy </w:t>
            </w:r>
          </w:p>
          <w:p w:rsidR="0027046C" w:rsidRPr="00CA45C3" w:rsidRDefault="0027046C" w:rsidP="0027046C">
            <w:pPr>
              <w:pStyle w:val="Default"/>
              <w:rPr>
                <w:sz w:val="20"/>
                <w:szCs w:val="20"/>
              </w:rPr>
            </w:pPr>
            <w:r w:rsidRPr="00CA45C3">
              <w:rPr>
                <w:sz w:val="20"/>
                <w:szCs w:val="20"/>
              </w:rPr>
              <w:t>i krytyczny podmiot współczesnej cywilizacji medialnej.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7046C" w:rsidRDefault="0027046C" w:rsidP="002704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K_KO01</w:t>
            </w:r>
          </w:p>
          <w:p w:rsidR="0027046C" w:rsidRDefault="0027046C" w:rsidP="002704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</w:tc>
        <w:tc>
          <w:tcPr>
            <w:tcW w:w="12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27046C" w:rsidTr="00005EE2">
        <w:trPr>
          <w:jc w:val="center"/>
        </w:trPr>
        <w:tc>
          <w:tcPr>
            <w:tcW w:w="11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K_WG05 +, K_WK12 +++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U: K_UW04 ++, K_UW05 +, K_UW07 ++, K_UW08 +, K_UK13 +</w:t>
            </w:r>
          </w:p>
          <w:p w:rsidR="0027046C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K: K_KO01 ++, K_KO03 +</w:t>
            </w:r>
          </w:p>
        </w:tc>
      </w:tr>
    </w:tbl>
    <w:p w:rsidR="009449BF" w:rsidRDefault="009449B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6" w:space="0" w:color="00000A"/>
          <w:insideH w:val="single" w:sz="4" w:space="0" w:color="00000A"/>
          <w:insideV w:val="single" w:sz="6" w:space="0" w:color="00000A"/>
        </w:tblBorders>
        <w:tblCellMar>
          <w:left w:w="104" w:type="dxa"/>
        </w:tblCellMar>
        <w:tblLook w:val="00A0" w:firstRow="1" w:lastRow="0" w:firstColumn="1" w:lastColumn="0" w:noHBand="0" w:noVBand="0"/>
      </w:tblPr>
      <w:tblGrid>
        <w:gridCol w:w="11210"/>
      </w:tblGrid>
      <w:tr w:rsidR="009449BF" w:rsidTr="00333A23">
        <w:trPr>
          <w:trHeight w:hRule="exact" w:val="340"/>
        </w:trPr>
        <w:tc>
          <w:tcPr>
            <w:tcW w:w="1121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333A23" w:rsidTr="00333A23">
        <w:trPr>
          <w:trHeight w:val="2809"/>
        </w:trPr>
        <w:tc>
          <w:tcPr>
            <w:tcW w:w="1121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7046C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16"/>
              </w:rPr>
            </w:pPr>
            <w:r w:rsidRPr="0027046C">
              <w:rPr>
                <w:b/>
                <w:sz w:val="20"/>
                <w:szCs w:val="16"/>
              </w:rPr>
              <w:lastRenderedPageBreak/>
              <w:t>Literatura podstawowa:</w:t>
            </w:r>
          </w:p>
          <w:p w:rsidR="0027046C" w:rsidRPr="0027046C" w:rsidRDefault="0027046C" w:rsidP="0027046C">
            <w:pPr>
              <w:jc w:val="both"/>
              <w:rPr>
                <w:sz w:val="20"/>
                <w:szCs w:val="16"/>
              </w:rPr>
            </w:pPr>
            <w:r w:rsidRPr="0027046C">
              <w:rPr>
                <w:i/>
                <w:sz w:val="20"/>
                <w:szCs w:val="16"/>
              </w:rPr>
              <w:t>Polski system medialny 1989-2011</w:t>
            </w:r>
            <w:r w:rsidRPr="0027046C">
              <w:rPr>
                <w:sz w:val="20"/>
                <w:szCs w:val="16"/>
              </w:rPr>
              <w:t>, red. K. Pokorna-Ignatowicz, Kraków 2013.</w:t>
            </w:r>
          </w:p>
          <w:p w:rsidR="0027046C" w:rsidRPr="0027046C" w:rsidRDefault="0027046C" w:rsidP="0027046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16"/>
              </w:rPr>
            </w:pPr>
            <w:r w:rsidRPr="0027046C">
              <w:rPr>
                <w:b/>
                <w:sz w:val="20"/>
                <w:szCs w:val="16"/>
              </w:rPr>
              <w:t>Literatura uzupełniająca:</w:t>
            </w:r>
          </w:p>
          <w:p w:rsidR="0027046C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sz w:val="20"/>
                <w:szCs w:val="16"/>
              </w:rPr>
              <w:t xml:space="preserve">HABIELSKI Rafał, </w:t>
            </w:r>
            <w:r w:rsidRPr="0027046C">
              <w:rPr>
                <w:i/>
                <w:iCs/>
                <w:sz w:val="20"/>
                <w:szCs w:val="16"/>
              </w:rPr>
              <w:t>Polityczna historia mediów w Polsce w XX wieku</w:t>
            </w:r>
            <w:r w:rsidRPr="0027046C">
              <w:rPr>
                <w:sz w:val="20"/>
                <w:szCs w:val="16"/>
              </w:rPr>
              <w:t>, Warszawa 2009.</w:t>
            </w:r>
          </w:p>
          <w:p w:rsidR="0027046C" w:rsidRPr="0027046C" w:rsidRDefault="0027046C" w:rsidP="0027046C">
            <w:pPr>
              <w:autoSpaceDE w:val="0"/>
              <w:autoSpaceDN w:val="0"/>
              <w:adjustRightInd w:val="0"/>
              <w:rPr>
                <w:sz w:val="20"/>
                <w:szCs w:val="16"/>
              </w:rPr>
            </w:pPr>
            <w:r w:rsidRPr="0027046C">
              <w:rPr>
                <w:sz w:val="20"/>
                <w:szCs w:val="16"/>
              </w:rPr>
              <w:t xml:space="preserve">JAKUBOWICZ Karol, </w:t>
            </w:r>
            <w:r w:rsidRPr="0027046C">
              <w:rPr>
                <w:i/>
                <w:sz w:val="20"/>
                <w:szCs w:val="16"/>
              </w:rPr>
              <w:t>Media publiczne. Początek końca czy nowy początek</w:t>
            </w:r>
            <w:r w:rsidRPr="0027046C">
              <w:rPr>
                <w:sz w:val="20"/>
                <w:szCs w:val="16"/>
              </w:rPr>
              <w:t>, Warszawa 2007.</w:t>
            </w:r>
          </w:p>
          <w:p w:rsidR="0027046C" w:rsidRPr="0027046C" w:rsidRDefault="0027046C" w:rsidP="0027046C">
            <w:pPr>
              <w:jc w:val="both"/>
              <w:rPr>
                <w:sz w:val="20"/>
                <w:szCs w:val="16"/>
              </w:rPr>
            </w:pPr>
            <w:r w:rsidRPr="0027046C">
              <w:rPr>
                <w:sz w:val="20"/>
                <w:szCs w:val="16"/>
              </w:rPr>
              <w:t xml:space="preserve">JUNG Bohdan, KOWALSKI Tadeusz, </w:t>
            </w:r>
            <w:r w:rsidRPr="0027046C">
              <w:rPr>
                <w:i/>
                <w:sz w:val="20"/>
                <w:szCs w:val="16"/>
              </w:rPr>
              <w:t>Media na rynku. Wprowadzenie do ekonomiki mediów</w:t>
            </w:r>
            <w:r w:rsidRPr="0027046C">
              <w:rPr>
                <w:sz w:val="20"/>
                <w:szCs w:val="16"/>
              </w:rPr>
              <w:t>, Warszawa 2007.</w:t>
            </w:r>
          </w:p>
          <w:p w:rsidR="0027046C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sz w:val="20"/>
                <w:szCs w:val="16"/>
              </w:rPr>
              <w:t xml:space="preserve">KOWALCZYK Ryszard, </w:t>
            </w:r>
            <w:r w:rsidRPr="0027046C">
              <w:rPr>
                <w:i/>
                <w:sz w:val="20"/>
                <w:szCs w:val="16"/>
              </w:rPr>
              <w:t>Media lokalne w Polsce</w:t>
            </w:r>
            <w:r w:rsidRPr="0027046C">
              <w:rPr>
                <w:sz w:val="20"/>
                <w:szCs w:val="16"/>
              </w:rPr>
              <w:t>, t. 1-3, Poznań 2008.</w:t>
            </w:r>
          </w:p>
          <w:p w:rsidR="0027046C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sz w:val="20"/>
                <w:szCs w:val="16"/>
              </w:rPr>
              <w:t xml:space="preserve">KOWALCZYK Ryszard, </w:t>
            </w:r>
            <w:r w:rsidRPr="0027046C">
              <w:rPr>
                <w:i/>
                <w:sz w:val="20"/>
                <w:szCs w:val="16"/>
              </w:rPr>
              <w:t>Media lokalne w Polsce: podręcznik akademicki</w:t>
            </w:r>
            <w:r w:rsidRPr="0027046C">
              <w:rPr>
                <w:sz w:val="20"/>
                <w:szCs w:val="16"/>
              </w:rPr>
              <w:t>, Poznań 2009.</w:t>
            </w:r>
          </w:p>
          <w:p w:rsidR="0027046C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i/>
                <w:sz w:val="20"/>
                <w:szCs w:val="16"/>
              </w:rPr>
              <w:t>Media publiczne, system medialny w Polsce: pytania i dezyderaty</w:t>
            </w:r>
            <w:r w:rsidRPr="0027046C">
              <w:rPr>
                <w:sz w:val="20"/>
                <w:szCs w:val="16"/>
              </w:rPr>
              <w:t>, red. P. Bielawski, A. Ostrowski, Poznań-Opole-Wrocław 2011.</w:t>
            </w:r>
          </w:p>
          <w:p w:rsidR="0027046C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i/>
                <w:sz w:val="20"/>
                <w:szCs w:val="16"/>
              </w:rPr>
              <w:t>Media w Polsce: pierwsza władza IV RP</w:t>
            </w:r>
            <w:r w:rsidRPr="0027046C">
              <w:rPr>
                <w:sz w:val="20"/>
                <w:szCs w:val="16"/>
              </w:rPr>
              <w:t>, red. M. Sokołowski, Warszawa 2007.</w:t>
            </w:r>
          </w:p>
          <w:p w:rsid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sz w:val="20"/>
                <w:szCs w:val="16"/>
              </w:rPr>
              <w:t xml:space="preserve">MIELCZAREK Tomasz, </w:t>
            </w:r>
            <w:r w:rsidRPr="0027046C">
              <w:rPr>
                <w:i/>
                <w:sz w:val="20"/>
                <w:szCs w:val="16"/>
              </w:rPr>
              <w:t>Monopol, pluralizm, koncentracja: środki komunikowania masowego w Polsce w latach 1989-2006</w:t>
            </w:r>
            <w:r w:rsidRPr="0027046C">
              <w:rPr>
                <w:sz w:val="20"/>
                <w:szCs w:val="16"/>
              </w:rPr>
              <w:t>, Warszawa 2007.</w:t>
            </w:r>
          </w:p>
          <w:p w:rsidR="00333A23" w:rsidRPr="0027046C" w:rsidRDefault="0027046C" w:rsidP="0027046C">
            <w:pPr>
              <w:autoSpaceDE w:val="0"/>
              <w:autoSpaceDN w:val="0"/>
              <w:adjustRightInd w:val="0"/>
              <w:jc w:val="both"/>
              <w:rPr>
                <w:sz w:val="20"/>
                <w:szCs w:val="16"/>
              </w:rPr>
            </w:pPr>
            <w:r w:rsidRPr="0027046C">
              <w:rPr>
                <w:i/>
                <w:sz w:val="20"/>
                <w:szCs w:val="16"/>
              </w:rPr>
              <w:t>Transformacja polskiego systemu medialnego</w:t>
            </w:r>
            <w:r w:rsidRPr="0027046C">
              <w:rPr>
                <w:sz w:val="20"/>
                <w:szCs w:val="16"/>
              </w:rPr>
              <w:t>, red. M. Sokołowski, Toruń 2011.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802"/>
        <w:gridCol w:w="1761"/>
        <w:gridCol w:w="1772"/>
        <w:gridCol w:w="1881"/>
      </w:tblGrid>
      <w:tr w:rsidR="009449BF" w:rsidTr="0027046C">
        <w:trPr>
          <w:trHeight w:hRule="exact" w:val="284"/>
          <w:jc w:val="center"/>
        </w:trPr>
        <w:tc>
          <w:tcPr>
            <w:tcW w:w="112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449BF" w:rsidTr="0027046C">
        <w:trPr>
          <w:trHeight w:hRule="exact" w:val="340"/>
          <w:jc w:val="center"/>
        </w:trPr>
        <w:tc>
          <w:tcPr>
            <w:tcW w:w="5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5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449BF" w:rsidTr="0027046C">
        <w:trPr>
          <w:trHeight w:hRule="exact" w:val="1193"/>
          <w:jc w:val="center"/>
        </w:trPr>
        <w:tc>
          <w:tcPr>
            <w:tcW w:w="5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praca własna studenta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449BF" w:rsidTr="0027046C">
        <w:trPr>
          <w:trHeight w:hRule="exact" w:val="284"/>
          <w:jc w:val="center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27046C" w:rsidP="00270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02B16">
              <w:rPr>
                <w:sz w:val="20"/>
                <w:szCs w:val="20"/>
              </w:rPr>
              <w:t>[h]</w:t>
            </w:r>
          </w:p>
        </w:tc>
      </w:tr>
      <w:tr w:rsidR="009449BF" w:rsidTr="0027046C">
        <w:trPr>
          <w:trHeight w:hRule="exact" w:val="284"/>
          <w:jc w:val="center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 w:rsidTr="0027046C">
        <w:trPr>
          <w:trHeight w:hRule="exact" w:val="265"/>
          <w:jc w:val="center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 w:rsidTr="0027046C">
        <w:trPr>
          <w:trHeight w:hRule="exact" w:val="284"/>
          <w:jc w:val="center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5[h] / 0,2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5[h] / 0,2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2704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15[h] / 0,6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9449BF" w:rsidTr="0027046C">
        <w:trPr>
          <w:trHeight w:hRule="exact" w:val="284"/>
          <w:jc w:val="center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5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 ECTS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</w:rPr>
      </w:pPr>
    </w:p>
    <w:p w:rsidR="009449BF" w:rsidRDefault="009449B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1216"/>
      </w:tblGrid>
      <w:tr w:rsidR="009449BF">
        <w:trPr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449BF">
        <w:trPr>
          <w:trHeight w:val="444"/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449BF" w:rsidRDefault="009449B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9449BF" w:rsidRDefault="009449BF">
      <w:pPr>
        <w:spacing w:after="200" w:line="276" w:lineRule="auto"/>
      </w:pPr>
      <w:bookmarkStart w:id="0" w:name="_GoBack"/>
      <w:bookmarkEnd w:id="0"/>
    </w:p>
    <w:sectPr w:rsidR="009449BF">
      <w:pgSz w:w="11906" w:h="16838"/>
      <w:pgMar w:top="340" w:right="340" w:bottom="340" w:left="340" w:header="0" w:footer="0" w:gutter="0"/>
      <w:pgNumType w:start="22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BF"/>
    <w:rsid w:val="00005EE2"/>
    <w:rsid w:val="001D475C"/>
    <w:rsid w:val="0027046C"/>
    <w:rsid w:val="00333A23"/>
    <w:rsid w:val="004A2F3C"/>
    <w:rsid w:val="005326F9"/>
    <w:rsid w:val="00757F09"/>
    <w:rsid w:val="007A652F"/>
    <w:rsid w:val="009449BF"/>
    <w:rsid w:val="00A02B16"/>
    <w:rsid w:val="00A74895"/>
    <w:rsid w:val="00B1471F"/>
    <w:rsid w:val="00CA45C3"/>
    <w:rsid w:val="00EE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CD08ED-A6F6-44ED-878F-77B866A6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rPr>
      <w:color w:val="00000A"/>
      <w:sz w:val="24"/>
      <w:szCs w:val="24"/>
    </w:rPr>
  </w:style>
  <w:style w:type="paragraph" w:styleId="Nagwek1">
    <w:name w:val="heading 1"/>
    <w:basedOn w:val="Normalny"/>
    <w:link w:val="Nagwek1Znak"/>
    <w:qFormat/>
    <w:rsid w:val="000F12D9"/>
    <w:pPr>
      <w:keepNext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12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5312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TML-wstpniesformatowanyZnak">
    <w:name w:val="HTML - wstępnie sformatowany Znak"/>
    <w:basedOn w:val="Domylnaczcionkaakapitu"/>
    <w:qFormat/>
    <w:rsid w:val="002A1BFA"/>
    <w:rPr>
      <w:rFonts w:ascii="Courier New" w:hAnsi="Courier New" w:cs="Courier New"/>
      <w:lang w:eastAsia="ar-SA"/>
    </w:rPr>
  </w:style>
  <w:style w:type="character" w:customStyle="1" w:styleId="wrtext">
    <w:name w:val="wrtext"/>
    <w:basedOn w:val="Domylnaczcionkaakapitu"/>
    <w:qFormat/>
    <w:rsid w:val="003E3649"/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b/>
      <w:i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/>
      <w:i w:val="0"/>
      <w:sz w:val="18"/>
      <w:szCs w:val="1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16"/>
      <w:szCs w:val="16"/>
    </w:rPr>
  </w:style>
  <w:style w:type="character" w:customStyle="1" w:styleId="ListLabel29">
    <w:name w:val="ListLabel 29"/>
    <w:qFormat/>
    <w:rPr>
      <w:sz w:val="20"/>
      <w:szCs w:val="20"/>
      <w:lang w:val="de-D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123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5312A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5312A"/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072CCE"/>
    <w:rPr>
      <w:szCs w:val="20"/>
    </w:rPr>
  </w:style>
  <w:style w:type="paragraph" w:customStyle="1" w:styleId="podtytu">
    <w:name w:val="podtytuł"/>
    <w:basedOn w:val="Normalny"/>
    <w:qFormat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qFormat/>
    <w:rsid w:val="00072CCE"/>
    <w:pPr>
      <w:spacing w:beforeAutospacing="1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qFormat/>
    <w:rsid w:val="00072CCE"/>
    <w:pPr>
      <w:spacing w:beforeAutospacing="1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70">
    <w:name w:val="xl70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76">
    <w:name w:val="xl7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qFormat/>
    <w:rsid w:val="00072CCE"/>
    <w:pPr>
      <w:spacing w:beforeAutospacing="1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072CCE"/>
    <w:pPr>
      <w:shd w:val="clear" w:color="000000" w:fill="D7E4BC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072CCE"/>
    <w:pPr>
      <w:shd w:val="clear" w:color="000000" w:fill="FCD5B4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072CCE"/>
    <w:pPr>
      <w:shd w:val="clear" w:color="000000" w:fill="DDD9C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072CCE"/>
    <w:pPr>
      <w:shd w:val="clear" w:color="000000" w:fill="DBEEF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</w:rPr>
  </w:style>
  <w:style w:type="paragraph" w:customStyle="1" w:styleId="xl92">
    <w:name w:val="xl92"/>
    <w:basedOn w:val="Normalny"/>
    <w:qFormat/>
    <w:rsid w:val="00072CCE"/>
    <w:pPr>
      <w:shd w:val="clear" w:color="000000" w:fill="FFFFFF"/>
      <w:spacing w:beforeAutospacing="1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qFormat/>
    <w:rsid w:val="00072CCE"/>
    <w:pPr>
      <w:shd w:val="clear" w:color="000000" w:fill="C5BE97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qFormat/>
    <w:rsid w:val="00072CCE"/>
    <w:pP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qFormat/>
    <w:rsid w:val="00072CCE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072CCE"/>
    <w:pPr>
      <w:pBdr>
        <w:top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072CCE"/>
    <w:pPr>
      <w:pBdr>
        <w:top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072CCE"/>
    <w:pPr>
      <w:pBdr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qFormat/>
    <w:rsid w:val="00072CCE"/>
    <w:pPr>
      <w:pBdr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qFormat/>
    <w:rsid w:val="00072CCE"/>
    <w:pPr>
      <w:pBdr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qFormat/>
    <w:rsid w:val="00072CCE"/>
    <w:pPr>
      <w:shd w:val="clear" w:color="000000" w:fill="D7E4BC"/>
      <w:spacing w:beforeAutospacing="1" w:afterAutospacing="1"/>
    </w:pPr>
    <w:rPr>
      <w:rFonts w:ascii="Arial" w:hAnsi="Arial" w:cs="Arial"/>
    </w:rPr>
  </w:style>
  <w:style w:type="paragraph" w:customStyle="1" w:styleId="xl186">
    <w:name w:val="xl1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191">
    <w:name w:val="xl19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7">
    <w:name w:val="xl19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8">
    <w:name w:val="xl198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202">
    <w:name w:val="xl202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2A1BF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HTML-wstpniesformatowany">
    <w:name w:val="HTML Preformatted"/>
    <w:basedOn w:val="Normalny"/>
    <w:qFormat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A1BFA"/>
    <w:pPr>
      <w:suppressAutoHyphens/>
      <w:textAlignment w:val="baseline"/>
    </w:pPr>
    <w:rPr>
      <w:rFonts w:cs="Mangal"/>
      <w:color w:val="00000A"/>
      <w:kern w:val="2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qFormat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A2F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zaban@zebrra.tv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BC11-1036-4B48-BAB2-24FBBA40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dc:description/>
  <cp:lastModifiedBy>Windows User</cp:lastModifiedBy>
  <cp:revision>4</cp:revision>
  <cp:lastPrinted>2019-04-02T10:33:00Z</cp:lastPrinted>
  <dcterms:created xsi:type="dcterms:W3CDTF">2019-09-22T15:03:00Z</dcterms:created>
  <dcterms:modified xsi:type="dcterms:W3CDTF">2019-09-22T15:38:00Z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Politechnika Radomska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